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C0392B"/>
          <w:sz w:val="96"/>
          <w:szCs w:val="96"/>
        </w:rPr>
        <w:t xml:space="preserve">GOING</w:t>
      </w:r>
    </w:p>
    <w:p>
      <w:pPr>
        <w:spacing w:after="120" w:before="0"/>
        <w:jc w:val="center"/>
      </w:pPr>
      <w:r>
        <w:rPr>
          <w:rFonts w:ascii="Arial" w:cs="Arial" w:eastAsia="Arial" w:hAnsi="Arial"/>
          <w:b/>
          <w:bCs/>
          <w:color w:val="1A2F4B"/>
          <w:sz w:val="44"/>
          <w:szCs w:val="44"/>
        </w:rPr>
        <w:t xml:space="preserve">MARCO LEGAL INTEGRAL</w:t>
      </w:r>
    </w:p>
    <w:p>
      <w:pPr>
        <w:spacing w:after="480" w:before="0"/>
        <w:jc w:val="center"/>
      </w:pPr>
      <w:r>
        <w:rPr>
          <w:rFonts w:ascii="Arial" w:cs="Arial" w:eastAsia="Arial" w:hAnsi="Arial"/>
          <w:color w:val="555555"/>
          <w:sz w:val="26"/>
          <w:szCs w:val="26"/>
        </w:rPr>
        <w:t xml:space="preserve">Estructura Documental por Etapa de Negocio</w:t>
      </w:r>
    </w:p>
    <w:p>
      <w:pPr>
        <w:pBdr>
          <w:top w:val="single" w:color="C0392B" w:sz="6"/>
        </w:pBdr>
        <w:spacing w:after="480" w:before="0"/>
      </w:pPr>
    </w:p>
    <w:p>
      <w:pPr>
        <w:spacing w:after="120" w:before="0"/>
        <w:jc w:val="center"/>
      </w:pPr>
      <w:r>
        <w:rPr>
          <w:rFonts w:ascii="Arial" w:cs="Arial" w:eastAsia="Arial" w:hAnsi="Arial"/>
          <w:color w:val="666666"/>
          <w:sz w:val="22"/>
          <w:szCs w:val="22"/>
        </w:rPr>
        <w:t xml:space="preserve">THORN CIA. LTDA.  ·  Going App Ecuador</w:t>
      </w:r>
    </w:p>
    <w:p>
      <w:pPr>
        <w:spacing w:after="120" w:before="0"/>
        <w:jc w:val="center"/>
      </w:pPr>
      <w:r>
        <w:rPr>
          <w:rFonts w:ascii="Arial" w:cs="Arial" w:eastAsia="Arial" w:hAnsi="Arial"/>
          <w:color w:val="666666"/>
          <w:sz w:val="22"/>
          <w:szCs w:val="22"/>
        </w:rPr>
        <w:t xml:space="preserve">Quito, Ecuador  ·  Abril 2026</w:t>
      </w:r>
    </w:p>
    <w:p>
      <w:r>
        <w:br w:type="page"/>
      </w:r>
    </w:p>
    <w:p>
      <w:pPr>
        <w:pStyle w:val="Heading1"/>
        <w:shd w:fill="1A2F4B" w:val="clear"/>
        <w:spacing w:after="200" w:before="360"/>
      </w:pPr>
      <w:r>
        <w:rPr>
          <w:rFonts w:ascii="Arial" w:cs="Arial" w:eastAsia="Arial" w:hAnsi="Arial"/>
          <w:b/>
          <w:bCs/>
          <w:color w:val="FFFFFF"/>
          <w:sz w:val="28"/>
          <w:szCs w:val="28"/>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hd w:fill="1A2F4B" w:val="clear"/>
        <w:spacing w:after="200" w:before="360"/>
        <w:ind w:left="200" w:right="200"/>
      </w:pPr>
      <w:r>
        <w:rPr>
          <w:rFonts w:ascii="Arial" w:cs="Arial" w:eastAsia="Arial" w:hAnsi="Arial"/>
          <w:b/>
          <w:bCs/>
          <w:color w:val="FFFFFF"/>
          <w:sz w:val="28"/>
          <w:szCs w:val="28"/>
        </w:rPr>
        <w:t xml:space="preserve">1. INTRODUCCIÓN</w:t>
      </w:r>
    </w:p>
    <w:p>
      <w:pPr>
        <w:spacing w:after="80" w:before="80"/>
      </w:pPr>
      <w:r>
        <w:rPr>
          <w:rFonts w:ascii="Arial" w:cs="Arial" w:eastAsia="Arial" w:hAnsi="Arial"/>
          <w:color w:val="333333"/>
          <w:sz w:val="20"/>
          <w:szCs w:val="20"/>
        </w:rPr>
        <w:t xml:space="preserve">Going es una super-aplicación ecuatoriana que conecta usuarios con conductores independientes para transporte privado, envío de paquetes, tours y experiencias locales. La plataforma opera bajo la razón social Thorn Cía. Ltda., con domicilio en Quito, Ecuador, registrada en la Superintendencia de Compañías.</w:t>
      </w:r>
    </w:p>
    <w:p>
      <w:pPr>
        <w:spacing w:after="60" w:before="60"/>
      </w:pPr>
      <w:r>
        <w:t xml:space="preserve"/>
      </w:r>
    </w:p>
    <w:p>
      <w:pPr>
        <w:spacing w:after="80" w:before="80"/>
      </w:pPr>
      <w:r>
        <w:rPr>
          <w:rFonts w:ascii="Arial" w:cs="Arial" w:eastAsia="Arial" w:hAnsi="Arial"/>
          <w:color w:val="333333"/>
          <w:sz w:val="20"/>
          <w:szCs w:val="20"/>
        </w:rPr>
        <w:t xml:space="preserve">El presente documento constituye el Marco Legal Integral de Going. Su objetivo es doble:</w:t>
      </w:r>
    </w:p>
    <w:p>
      <w:pPr>
        <w:pStyle w:val="ListParagraph"/>
        <w:numPr>
          <w:ilvl w:val="0"/>
          <w:numId w:val="2"/>
        </w:numPr>
        <w:spacing w:after="60" w:before="60"/>
      </w:pPr>
      <w:r>
        <w:rPr>
          <w:rFonts w:ascii="Arial" w:cs="Arial" w:eastAsia="Arial" w:hAnsi="Arial"/>
          <w:color w:val="333333"/>
          <w:sz w:val="20"/>
          <w:szCs w:val="20"/>
        </w:rPr>
        <w:t xml:space="preserve">Mapear y clasificar los 33 documentos legales y operativos de la empresa según la etapa del negocio a la que corresponden.</w:t>
      </w:r>
    </w:p>
    <w:p>
      <w:pPr>
        <w:pStyle w:val="ListParagraph"/>
        <w:numPr>
          <w:ilvl w:val="0"/>
          <w:numId w:val="2"/>
        </w:numPr>
        <w:spacing w:after="60" w:before="60"/>
      </w:pPr>
      <w:r>
        <w:rPr>
          <w:rFonts w:ascii="Arial" w:cs="Arial" w:eastAsia="Arial" w:hAnsi="Arial"/>
          <w:color w:val="333333"/>
          <w:sz w:val="20"/>
          <w:szCs w:val="20"/>
        </w:rPr>
        <w:t xml:space="preserve">Proporcionar un resumen ejecutivo del contenido y alcance de cada documento, identificando su estado, audiencia objetivo y vínculos con otros instrumentos del ecosistema jurídico.</w:t>
      </w:r>
    </w:p>
    <w:p>
      <w:pPr>
        <w:spacing w:after="60" w:before="60"/>
      </w:pPr>
      <w:r>
        <w:t xml:space="preserve"/>
      </w:r>
    </w:p>
    <w:p>
      <w:pPr>
        <w:spacing w:after="80" w:before="80"/>
      </w:pPr>
      <w:r>
        <w:rPr>
          <w:rFonts w:ascii="Arial" w:cs="Arial" w:eastAsia="Arial" w:hAnsi="Arial"/>
          <w:color w:val="333333"/>
          <w:sz w:val="20"/>
          <w:szCs w:val="20"/>
        </w:rPr>
        <w:t xml:space="preserve">La estructura está organizada en cuatro etapas que reflejan la evolución natural del negocio:</w:t>
      </w:r>
    </w:p>
    <w:p>
      <w:pPr>
        <w:spacing w:after="60" w:before="6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760"/>
      </w:tblGrid>
      <w:tr>
        <w:trPr>
          <w:tblHeader/>
        </w:trPr>
        <w:tc>
          <w:tcPr>
            <w:tcW w:type="dxa" w:w="3000"/>
            <w:tcBorders>
              <w:top w:val="single" w:color="2E5F8A" w:sz="1"/>
              <w:left w:val="single" w:color="2E5F8A" w:sz="1"/>
              <w:bottom w:val="single" w:color="2E5F8A" w:sz="1"/>
              <w:right w:val="single" w:color="2E5F8A"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Etapa</w:t>
            </w:r>
          </w:p>
        </w:tc>
        <w:tc>
          <w:tcPr>
            <w:tcW w:type="dxa" w:w="4200"/>
            <w:tcBorders>
              <w:top w:val="single" w:color="2E5F8A" w:sz="1"/>
              <w:left w:val="single" w:color="2E5F8A" w:sz="1"/>
              <w:bottom w:val="single" w:color="2E5F8A" w:sz="1"/>
              <w:right w:val="single" w:color="2E5F8A"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Foco Estratégico</w:t>
            </w:r>
          </w:p>
        </w:tc>
        <w:tc>
          <w:tcPr>
            <w:tcW w:type="dxa" w:w="2760"/>
            <w:tcBorders>
              <w:top w:val="single" w:color="2E5F8A" w:sz="1"/>
              <w:left w:val="single" w:color="2E5F8A" w:sz="1"/>
              <w:bottom w:val="single" w:color="2E5F8A" w:sz="1"/>
              <w:right w:val="single" w:color="2E5F8A"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 de Documentos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Etapa 1 — Operación Core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Contratos fundacionales, normativas de conductores y usuarios, T&amp;C de la app</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11</w:t>
            </w:r>
          </w:p>
        </w:tc>
      </w:tr>
      <w:tr>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Etapa 2 — Seguridad y Cumplimiento</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Privacidad de datos, estándares de seguridad, tolerancia cero</w:t>
            </w:r>
          </w:p>
        </w:tc>
        <w:tc>
          <w:tcPr>
            <w:tcW w:type="dxa" w:w="27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9</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Etapa 3 — Crecimiento de Producto</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Going Envíos, tarjeta de regalo, referidos, contenido de usuario</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8</w:t>
            </w:r>
          </w:p>
        </w:tc>
      </w:tr>
      <w:tr>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Etapa 4 — Escalabilidad e Inversión</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Propiedad intelectual, estructura legal corporativa, pagos</w:t>
            </w:r>
          </w:p>
        </w:tc>
        <w:tc>
          <w:tcPr>
            <w:tcW w:type="dxa" w:w="27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5</w:t>
            </w:r>
          </w:p>
        </w:tc>
      </w:tr>
    </w:tbl>
    <w:p>
      <w:r>
        <w:br w:type="page"/>
      </w:r>
    </w:p>
    <w:p>
      <w:pPr>
        <w:pStyle w:val="Heading1"/>
        <w:shd w:fill="1A2F4B" w:val="clear"/>
        <w:spacing w:after="200" w:before="360"/>
        <w:ind w:left="200" w:right="200"/>
      </w:pPr>
      <w:r>
        <w:rPr>
          <w:rFonts w:ascii="Arial" w:cs="Arial" w:eastAsia="Arial" w:hAnsi="Arial"/>
          <w:b/>
          <w:bCs/>
          <w:color w:val="FFFFFF"/>
          <w:sz w:val="28"/>
          <w:szCs w:val="28"/>
        </w:rPr>
        <w:t xml:space="preserve">2. CUADRO GENERAL — MAPA DOCUMENTAL COMPLETO</w:t>
      </w:r>
    </w:p>
    <w:p>
      <w:pPr>
        <w:spacing w:after="80" w:before="80"/>
      </w:pPr>
      <w:r>
        <w:rPr>
          <w:rFonts w:ascii="Arial" w:cs="Arial" w:eastAsia="Arial" w:hAnsi="Arial"/>
          <w:color w:val="333333"/>
          <w:sz w:val="20"/>
          <w:szCs w:val="20"/>
        </w:rPr>
        <w:t xml:space="preserve">La siguiente tabla presenta el inventario completo de los 33 documentos legales y operativos de Going, clasificados por etapa de negocio. El campo "Estado" indica la condición actual de cada documento:</w:t>
      </w:r>
    </w:p>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7160"/>
      </w:tblGrid>
      <w:tr>
        <w:trPr>
          <w:tblHeader/>
        </w:trPr>
        <w:tc>
          <w:tcPr>
            <w:tcW w:type="dxa" w:w="1800"/>
            <w:tcBorders>
              <w:top w:val="single" w:color="2E5F8A" w:sz="1"/>
              <w:left w:val="single" w:color="2E5F8A" w:sz="1"/>
              <w:bottom w:val="single" w:color="2E5F8A" w:sz="1"/>
              <w:right w:val="single" w:color="2E5F8A"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Estado</w:t>
            </w:r>
          </w:p>
        </w:tc>
        <w:tc>
          <w:tcPr>
            <w:tcW w:type="dxa" w:w="7160"/>
            <w:tcBorders>
              <w:top w:val="single" w:color="2E5F8A" w:sz="1"/>
              <w:left w:val="single" w:color="2E5F8A" w:sz="1"/>
              <w:bottom w:val="single" w:color="2E5F8A" w:sz="1"/>
              <w:right w:val="single" w:color="2E5F8A"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Significado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Vigente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Documento completo y aplicable en su versión actual</w:t>
            </w:r>
          </w:p>
        </w:tc>
      </w:tr>
      <w:tr>
        <w:tc>
          <w:tcPr>
            <w:tcW w:type="dxa" w:w="1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Revisar</w:t>
            </w:r>
          </w:p>
        </w:tc>
        <w:tc>
          <w:tcPr>
            <w:tcW w:type="dxa" w:w="71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Contiene referencias a terceros o necesita adaptación a Going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Template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Esqueleto que requiere personalización con datos finales</w:t>
            </w:r>
          </w:p>
        </w:tc>
      </w:tr>
      <w:tr>
        <w:tc>
          <w:tcPr>
            <w:tcW w:type="dxa" w:w="1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Complementar</w:t>
            </w:r>
          </w:p>
        </w:tc>
        <w:tc>
          <w:tcPr>
            <w:tcW w:type="dxa" w:w="71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Documento incompleto o que necesita expansión</w:t>
            </w:r>
          </w:p>
        </w:tc>
      </w:tr>
    </w:tbl>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ETAPA 1 — OPERACIÓN CORE</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600"/>
        <w:gridCol w:w="1560"/>
        <w:gridCol w:w="1200"/>
      </w:tblGrid>
      <w:tr>
        <w:trPr>
          <w:tblHeader/>
        </w:trPr>
        <w:tc>
          <w:tcPr>
            <w:tcW w:type="dxa" w:w="6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30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Documento</w:t>
            </w:r>
          </w:p>
        </w:tc>
        <w:tc>
          <w:tcPr>
            <w:tcW w:type="dxa" w:w="26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Propósito / Alcance</w:t>
            </w:r>
          </w:p>
        </w:tc>
        <w:tc>
          <w:tcPr>
            <w:tcW w:type="dxa" w:w="156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Audiencia</w:t>
            </w:r>
          </w:p>
        </w:tc>
        <w:tc>
          <w:tcPr>
            <w:tcW w:type="dxa" w:w="12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Estado</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Términos y Condiciones de Uso de la Aplicación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Regula el acceso y uso de la plataforma Going por parte de usuarios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Usuarios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02</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b/>
                <w:bCs/>
                <w:color w:val="111111"/>
                <w:sz w:val="18"/>
                <w:szCs w:val="18"/>
              </w:rPr>
              <w:t xml:space="preserve">Contrato de Prestación de Servicios de Transporte</w:t>
            </w:r>
          </w:p>
        </w:tc>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Formaliza la relación Going — Conductor como contratista independiente</w:t>
            </w:r>
          </w:p>
        </w:tc>
        <w:tc>
          <w:tcPr>
            <w:tcW w:type="dxa" w:w="1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Conductores</w:t>
            </w:r>
          </w:p>
        </w:tc>
        <w:tc>
          <w:tcPr>
            <w:tcW w:type="dxa" w:w="1200"/>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Template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03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Contrato de Servicio para Usuario Going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Contrato bilateral entre Thorn Cía. Ltda. y el usuario final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Usuarios</w:t>
            </w:r>
          </w:p>
        </w:tc>
        <w:tc>
          <w:tcPr>
            <w:tcW w:type="dxa" w:w="1200"/>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Template</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04</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b/>
                <w:bCs/>
                <w:color w:val="111111"/>
                <w:sz w:val="18"/>
                <w:szCs w:val="18"/>
              </w:rPr>
              <w:t xml:space="preserve">Aviso de Servicios Going y Glosario</w:t>
            </w:r>
          </w:p>
        </w:tc>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Define la naturaleza tecnológica (no transportista) de Going y sus servicios</w:t>
            </w:r>
          </w:p>
        </w:tc>
        <w:tc>
          <w:tcPr>
            <w:tcW w:type="dxa" w:w="1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Todos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05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Normativa de los Conductores con Going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Obligaciones, responsabilidades y reglas de conducta del conductor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Conductores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06</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b/>
                <w:bCs/>
                <w:color w:val="111111"/>
                <w:sz w:val="18"/>
                <w:szCs w:val="18"/>
              </w:rPr>
              <w:t xml:space="preserve">Normativas Conductores Going (Guías App)</w:t>
            </w:r>
          </w:p>
        </w:tc>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Procedimientos operativos de la Driver App</w:t>
            </w:r>
          </w:p>
        </w:tc>
        <w:tc>
          <w:tcPr>
            <w:tcW w:type="dxa" w:w="1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Conductores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07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Normativa de los Usuarios de la Plataforma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Derechos y obligaciones de los usuarios al usar la plataforma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Usuarios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08</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b/>
                <w:bCs/>
                <w:color w:val="111111"/>
                <w:sz w:val="18"/>
                <w:szCs w:val="18"/>
              </w:rPr>
              <w:t xml:space="preserve">Manual de Políticas para Usuarios Going</w:t>
            </w:r>
          </w:p>
        </w:tc>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Normas de conducta, responsabilidades y uso correcto de la app</w:t>
            </w:r>
          </w:p>
        </w:tc>
        <w:tc>
          <w:tcPr>
            <w:tcW w:type="dxa" w:w="1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Usuarios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09</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Normas Comunitarias Going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Estándares de comportamiento e interacción dentro de la comunidad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Todos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10</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b/>
                <w:bCs/>
                <w:color w:val="111111"/>
                <w:sz w:val="18"/>
                <w:szCs w:val="18"/>
              </w:rPr>
              <w:t xml:space="preserve">Tu Primer Viaje con Going</w:t>
            </w:r>
          </w:p>
        </w:tc>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Guía de onboarding y recomendaciones para conductores nuevos</w:t>
            </w:r>
          </w:p>
        </w:tc>
        <w:tc>
          <w:tcPr>
            <w:tcW w:type="dxa" w:w="1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Conductores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Conductor: ¿Por Qué Elegirnos?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Propuesta de valor y beneficios para conductores (reclutamiento)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Conductores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bl>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r>
              <w:rPr>
                <w:rFonts w:ascii="Arial" w:cs="Arial" w:eastAsia="Arial" w:hAnsi="Arial"/>
                <w:b/>
                <w:bCs/>
                <w:color w:val="FFFFFF"/>
                <w:sz w:val="20"/>
                <w:szCs w:val="20"/>
              </w:rPr>
              <w:t xml:space="preserve">ETAPA 2 — SEGURIDAD Y CUMPLIMIENTO</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600"/>
        <w:gridCol w:w="1560"/>
        <w:gridCol w:w="1200"/>
      </w:tblGrid>
      <w:tr>
        <w:trPr>
          <w:tblHeader/>
        </w:trPr>
        <w:tc>
          <w:tcPr>
            <w:tcW w:type="dxa" w:w="6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30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Documento</w:t>
            </w:r>
          </w:p>
        </w:tc>
        <w:tc>
          <w:tcPr>
            <w:tcW w:type="dxa" w:w="26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Propósito / Alcance</w:t>
            </w:r>
          </w:p>
        </w:tc>
        <w:tc>
          <w:tcPr>
            <w:tcW w:type="dxa" w:w="156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Audiencia</w:t>
            </w:r>
          </w:p>
        </w:tc>
        <w:tc>
          <w:tcPr>
            <w:tcW w:type="dxa" w:w="12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Estado</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Aviso de Privacidad y Tratamiento de Datos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Política principal de privacidad: qué datos se recopilan, cómo se usan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Usuarios / Conductores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13</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b/>
                <w:bCs/>
                <w:color w:val="111111"/>
                <w:sz w:val="18"/>
                <w:szCs w:val="18"/>
              </w:rPr>
              <w:t xml:space="preserve">Términos de Tratamiento de Datos y Privacidad</w:t>
            </w:r>
          </w:p>
        </w:tc>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Versión complementaria/extendida de la política de privacidad</w:t>
            </w:r>
          </w:p>
        </w:tc>
        <w:tc>
          <w:tcPr>
            <w:tcW w:type="dxa" w:w="1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Usuarios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Aviso de Privacidad para Aspirantes y Empleados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Privacidad de datos del personal y candidatos de Going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Empleados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15</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b/>
                <w:bCs/>
                <w:color w:val="111111"/>
                <w:sz w:val="18"/>
                <w:szCs w:val="18"/>
              </w:rPr>
              <w:t xml:space="preserve">Aceptación de Uso de Datos 2024</w:t>
            </w:r>
          </w:p>
        </w:tc>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Formulario de consentimiento expreso para tratamiento de datos personales</w:t>
            </w:r>
          </w:p>
        </w:tc>
        <w:tc>
          <w:tcPr>
            <w:tcW w:type="dxa" w:w="1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Empleados / Conductores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16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Going Estándares Mínimos de Seguridad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Requisitos técnicos de seguridad vehicular exigidos a conductores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Conductores</w:t>
            </w:r>
          </w:p>
        </w:tc>
        <w:tc>
          <w:tcPr>
            <w:tcW w:type="dxa" w:w="12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Complementar</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17</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b/>
                <w:bCs/>
                <w:color w:val="111111"/>
                <w:sz w:val="18"/>
                <w:szCs w:val="18"/>
              </w:rPr>
              <w:t xml:space="preserve">Política de Cero Tolerancia</w:t>
            </w:r>
          </w:p>
        </w:tc>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Prohibición absoluta de alcohol/drogas; protocolo de reporte</w:t>
            </w:r>
          </w:p>
        </w:tc>
        <w:tc>
          <w:tcPr>
            <w:tcW w:type="dxa" w:w="1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Todos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18</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Compartir en Caso de Emergencia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Política de compartición de datos de viaje con servicios de emergencia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Usuarios / Conductores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19</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b/>
                <w:bCs/>
                <w:color w:val="111111"/>
                <w:sz w:val="18"/>
                <w:szCs w:val="18"/>
              </w:rPr>
              <w:t xml:space="preserve">Tecnología Going y Seguridad de la Plataforma</w:t>
            </w:r>
          </w:p>
        </w:tc>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T&amp;C de uso de la tecnología; limitaciones de responsabilidad digital</w:t>
            </w:r>
          </w:p>
        </w:tc>
        <w:tc>
          <w:tcPr>
            <w:tcW w:type="dxa" w:w="1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Conductores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20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Asistencia al Usuario Going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Protocolo paso a paso para reclamos y soporte al cliente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Usuarios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bl>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27AE60" w:sz="1"/>
              <w:left w:val="single" w:color="27AE60" w:sz="1"/>
              <w:bottom w:val="single" w:color="27AE60" w:sz="1"/>
              <w:right w:val="single" w:color="27AE60" w:sz="1"/>
            </w:tcBorders>
            <w:shd w:fill="27AE60" w:val="clear"/>
            <w:tcMar>
              <w:top w:type="dxa" w:w="100"/>
              <w:left w:type="dxa" w:w="140"/>
              <w:bottom w:type="dxa" w:w="100"/>
              <w:right w:type="dxa" w:w="140"/>
            </w:tcMar>
          </w:tcPr>
          <w:p>
            <w:r>
              <w:rPr>
                <w:rFonts w:ascii="Arial" w:cs="Arial" w:eastAsia="Arial" w:hAnsi="Arial"/>
                <w:b/>
                <w:bCs/>
                <w:color w:val="FFFFFF"/>
                <w:sz w:val="20"/>
                <w:szCs w:val="20"/>
              </w:rPr>
              <w:t xml:space="preserve">ETAPA 3 — CRECIMIENTO DE PRODUCTO</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600"/>
        <w:gridCol w:w="1560"/>
        <w:gridCol w:w="1200"/>
      </w:tblGrid>
      <w:tr>
        <w:trPr>
          <w:tblHeader/>
        </w:trPr>
        <w:tc>
          <w:tcPr>
            <w:tcW w:type="dxa" w:w="6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30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Documento</w:t>
            </w:r>
          </w:p>
        </w:tc>
        <w:tc>
          <w:tcPr>
            <w:tcW w:type="dxa" w:w="26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Propósito / Alcance</w:t>
            </w:r>
          </w:p>
        </w:tc>
        <w:tc>
          <w:tcPr>
            <w:tcW w:type="dxa" w:w="156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Audiencia</w:t>
            </w:r>
          </w:p>
        </w:tc>
        <w:tc>
          <w:tcPr>
            <w:tcW w:type="dxa" w:w="12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Estado</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21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Going Envíos: Condiciones y Normativas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Marco general del servicio de envío de paquetes y documentos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Usuarios / Comercios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22</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b/>
                <w:bCs/>
                <w:color w:val="111111"/>
                <w:sz w:val="18"/>
                <w:szCs w:val="18"/>
              </w:rPr>
              <w:t xml:space="preserve">Términos y Condiciones de Going Envíos</w:t>
            </w:r>
          </w:p>
        </w:tc>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T&amp;C completos del servicio Envíos, incluyendo artículos prohibidos</w:t>
            </w:r>
          </w:p>
        </w:tc>
        <w:tc>
          <w:tcPr>
            <w:tcW w:type="dxa" w:w="1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Usuarios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23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Normativas para Going Envíos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Versión extendida con horarios, áreas de servicio y seguros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Usuarios / Conductores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24</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b/>
                <w:bCs/>
                <w:color w:val="111111"/>
                <w:sz w:val="18"/>
                <w:szCs w:val="18"/>
              </w:rPr>
              <w:t xml:space="preserve">Envíos: Artículos Prohibidos</w:t>
            </w:r>
          </w:p>
        </w:tc>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Lista de productos que no pueden transportarse mediante Going Envíos</w:t>
            </w:r>
          </w:p>
        </w:tc>
        <w:tc>
          <w:tcPr>
            <w:tcW w:type="dxa" w:w="1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Usuarios / Comercios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25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Manejo de Envíos (Capacitación)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Programa de capacitación para conductores en el servicio de envíos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Conductores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26</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b/>
                <w:bCs/>
                <w:color w:val="111111"/>
                <w:sz w:val="18"/>
                <w:szCs w:val="18"/>
              </w:rPr>
              <w:t xml:space="preserve">Condiciones del Programa de Referidos</w:t>
            </w:r>
          </w:p>
        </w:tc>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Reglas de participación, recompensas y restricciones del programa</w:t>
            </w:r>
          </w:p>
        </w:tc>
        <w:tc>
          <w:tcPr>
            <w:tcW w:type="dxa" w:w="1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Usuarios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27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Tarjeta de Regalo Going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T&amp;C de compra, canje y vigencia de gift cards físicas y virtuales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Usuarios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28</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b/>
                <w:bCs/>
                <w:color w:val="111111"/>
                <w:sz w:val="18"/>
                <w:szCs w:val="18"/>
              </w:rPr>
              <w:t xml:space="preserve">Condiciones para Contenido Generado por el Usuario</w:t>
            </w:r>
          </w:p>
        </w:tc>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Normas para reseñas, comentarios, contenido multimedia en la plataforma</w:t>
            </w:r>
          </w:p>
        </w:tc>
        <w:tc>
          <w:tcPr>
            <w:tcW w:type="dxa" w:w="1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Todos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bl>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6C3483" w:sz="1"/>
              <w:left w:val="single" w:color="6C3483" w:sz="1"/>
              <w:bottom w:val="single" w:color="6C3483" w:sz="1"/>
              <w:right w:val="single" w:color="6C3483" w:sz="1"/>
            </w:tcBorders>
            <w:shd w:fill="6C3483" w:val="clear"/>
            <w:tcMar>
              <w:top w:type="dxa" w:w="100"/>
              <w:left w:type="dxa" w:w="140"/>
              <w:bottom w:type="dxa" w:w="100"/>
              <w:right w:type="dxa" w:w="140"/>
            </w:tcMar>
          </w:tcPr>
          <w:p>
            <w:r>
              <w:rPr>
                <w:rFonts w:ascii="Arial" w:cs="Arial" w:eastAsia="Arial" w:hAnsi="Arial"/>
                <w:b/>
                <w:bCs/>
                <w:color w:val="FFFFFF"/>
                <w:sz w:val="20"/>
                <w:szCs w:val="20"/>
              </w:rPr>
              <w:t xml:space="preserve">ETAPA 4 — ESCALABILIDAD E INVERSIÓN</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600"/>
        <w:gridCol w:w="1560"/>
        <w:gridCol w:w="1200"/>
      </w:tblGrid>
      <w:tr>
        <w:trPr>
          <w:tblHeader/>
        </w:trPr>
        <w:tc>
          <w:tcPr>
            <w:tcW w:type="dxa" w:w="6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30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Documento</w:t>
            </w:r>
          </w:p>
        </w:tc>
        <w:tc>
          <w:tcPr>
            <w:tcW w:type="dxa" w:w="26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Propósito / Alcance</w:t>
            </w:r>
          </w:p>
        </w:tc>
        <w:tc>
          <w:tcPr>
            <w:tcW w:type="dxa" w:w="156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Audiencia</w:t>
            </w:r>
          </w:p>
        </w:tc>
        <w:tc>
          <w:tcPr>
            <w:tcW w:type="dxa" w:w="1200"/>
            <w:tcBorders>
              <w:top w:val="single" w:color="1A2F4B" w:sz="1"/>
              <w:left w:val="single" w:color="1A2F4B" w:sz="1"/>
              <w:bottom w:val="single" w:color="1A2F4B" w:sz="1"/>
              <w:right w:val="single" w:color="1A2F4B"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Estado</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29</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Going Legal (Visión, Valores y Política de Datos)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Documento institucional: identidad corporativa + política de datos integral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Inversores / Socios</w:t>
            </w:r>
          </w:p>
        </w:tc>
        <w:tc>
          <w:tcPr>
            <w:tcW w:type="dxa" w:w="12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Complementar</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30</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b/>
                <w:bCs/>
                <w:color w:val="111111"/>
                <w:sz w:val="18"/>
                <w:szCs w:val="18"/>
              </w:rPr>
              <w:t xml:space="preserve">Manual de Operaciones Going</w:t>
            </w:r>
          </w:p>
        </w:tc>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Estructura CIIU, actividades legales para la super app y marketplace</w:t>
            </w:r>
          </w:p>
        </w:tc>
        <w:tc>
          <w:tcPr>
            <w:tcW w:type="dxa" w:w="1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Dirección / Legal</w:t>
            </w:r>
          </w:p>
        </w:tc>
        <w:tc>
          <w:tcPr>
            <w:tcW w:type="dxa" w:w="12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Complementar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31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Política de Derechos de Autor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Procedimiento DMCA y gestión de infracciones de copyright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Todos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32</w:t>
            </w:r>
          </w:p>
        </w:tc>
        <w:tc>
          <w:tcPr>
            <w:tcW w:type="dxa" w:w="3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b/>
                <w:bCs/>
                <w:color w:val="111111"/>
                <w:sz w:val="18"/>
                <w:szCs w:val="18"/>
              </w:rPr>
              <w:t xml:space="preserve">Política de Marcas Registradas</w:t>
            </w:r>
          </w:p>
        </w:tc>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Protección de marca Going Technologies; proceso de reporte de infracción</w:t>
            </w:r>
          </w:p>
        </w:tc>
        <w:tc>
          <w:tcPr>
            <w:tcW w:type="dxa" w:w="1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333333"/>
                <w:sz w:val="18"/>
                <w:szCs w:val="18"/>
              </w:rPr>
              <w:t xml:space="preserve">Todos</w:t>
            </w:r>
          </w:p>
        </w:tc>
        <w:tc>
          <w:tcPr>
            <w:tcW w:type="dxa" w:w="1200"/>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Vigente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8A"/>
                <w:sz w:val="18"/>
                <w:szCs w:val="18"/>
              </w:rPr>
              <w:t xml:space="preserve">33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11111"/>
                <w:sz w:val="18"/>
                <w:szCs w:val="18"/>
              </w:rPr>
              <w:t xml:space="preserve">Términos de Pago del Servicio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Marco de pagos, arbitraje y disputas (basado en template Airbnb)</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333333"/>
                <w:sz w:val="18"/>
                <w:szCs w:val="18"/>
              </w:rPr>
              <w:t xml:space="preserve">Usuarios</w:t>
            </w:r>
          </w:p>
        </w:tc>
        <w:tc>
          <w:tcPr>
            <w:tcW w:type="dxa" w:w="1200"/>
            <w:tcBorders>
              <w:top w:val="single" w:color="CCCCCC" w:sz="1"/>
              <w:left w:val="single" w:color="CCCCCC" w:sz="1"/>
              <w:bottom w:val="single" w:color="CCCCCC" w:sz="1"/>
              <w:right w:val="single" w:color="CCCCCC" w:sz="1"/>
            </w:tcBorders>
            <w:shd w:fill="F39C1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Revisar</w:t>
            </w:r>
          </w:p>
        </w:tc>
      </w:tr>
    </w:tbl>
    <w:p>
      <w:r>
        <w:br w:type="page"/>
      </w:r>
    </w:p>
    <w:p>
      <w:pPr>
        <w:pStyle w:val="Heading1"/>
        <w:shd w:fill="1A2F4B" w:val="clear"/>
        <w:spacing w:after="200" w:before="360"/>
        <w:ind w:left="200" w:right="200"/>
      </w:pPr>
      <w:r>
        <w:rPr>
          <w:rFonts w:ascii="Arial" w:cs="Arial" w:eastAsia="Arial" w:hAnsi="Arial"/>
          <w:b/>
          <w:bCs/>
          <w:color w:val="FFFFFF"/>
          <w:sz w:val="28"/>
          <w:szCs w:val="28"/>
        </w:rPr>
        <w:t xml:space="preserve">3. ETAPA 1 — OPERACIÓN CORE</w:t>
      </w:r>
    </w:p>
    <w:p>
      <w:pPr>
        <w:spacing w:after="80" w:before="80"/>
      </w:pPr>
      <w:r>
        <w:rPr>
          <w:rFonts w:ascii="Arial" w:cs="Arial" w:eastAsia="Arial" w:hAnsi="Arial"/>
          <w:color w:val="333333"/>
          <w:sz w:val="20"/>
          <w:szCs w:val="20"/>
        </w:rPr>
        <w:t xml:space="preserve">Esta etapa contiene los documentos fundacionales que permiten a Going operar desde el primer día. Establecen la naturaleza jurídica de la relación entre las partes (Going como empresa de tecnología — no transportista), las obligaciones de conductores y usuarios, y los términos que rigen el uso de la app.</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3.1 Términos y Condiciones de Uso de la Aplicación Going</w:t>
      </w:r>
    </w:p>
    <w:p>
      <w:pPr>
        <w:spacing w:after="80" w:before="80"/>
      </w:pPr>
      <w:r>
        <w:rPr>
          <w:rFonts w:ascii="Arial" w:cs="Arial" w:eastAsia="Arial" w:hAnsi="Arial"/>
          <w:color w:val="333333"/>
          <w:sz w:val="20"/>
          <w:szCs w:val="20"/>
        </w:rPr>
        <w:t xml:space="preserve">Es el documento maestro que regula el acceso y uso de la plataforma. Cubre introducción y contexto, definiciones de términos clave, descripción del servicio Going, gestión de cuentas de usuario, conducta aceptable, limitaciones de responsabilidad y resolución de disputas. Todos los demás documentos de usuario deben remitirse a este instrumento como documento raíz.</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3.2 Contratos con Conductores y Usuarios</w:t>
      </w:r>
    </w:p>
    <w:p>
      <w:pPr>
        <w:spacing w:after="80" w:before="80"/>
      </w:pPr>
      <w:r>
        <w:rPr>
          <w:rFonts w:ascii="Arial" w:cs="Arial" w:eastAsia="Arial" w:hAnsi="Arial"/>
          <w:color w:val="333333"/>
          <w:sz w:val="20"/>
          <w:szCs w:val="20"/>
        </w:rPr>
        <w:t xml:space="preserve">Going cuenta con dos contratos bilaterales diferenciados: el Contrato de Prestación de Servicios de Transporte (Going — Conductor) y el Contrato de Servicio para Usuario Going (Thorn Cía. Ltda. — Usuario). Ambos son instrumentos de template con espacios en blanco para nombre e identificación del contratante. El punto central de ambos es el reconocimiento explícito de que Going actúa como intermediario tecnológico y no como empleador ni transportista.</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3.3 Aviso de Servicios Going y Glosario</w:t>
      </w:r>
    </w:p>
    <w:p>
      <w:pPr>
        <w:spacing w:after="80" w:before="80"/>
      </w:pPr>
      <w:r>
        <w:rPr>
          <w:rFonts w:ascii="Arial" w:cs="Arial" w:eastAsia="Arial" w:hAnsi="Arial"/>
          <w:color w:val="333333"/>
          <w:sz w:val="20"/>
          <w:szCs w:val="20"/>
        </w:rPr>
        <w:t xml:space="preserve">Define la posición legal de Going frente al mercado: empresa de tecnología que conecta oferta y demanda, sin ser transportista, alojamiento ni operador turístico. Incluye el glosario oficial de términos utilizados en todos los documentos de la plataforma. Sirve como documento de referencia para la interpretación de cualquier instrumento legal de Going.</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3.4 Normativas y Guías para Conductores</w:t>
      </w:r>
    </w:p>
    <w:p>
      <w:pPr>
        <w:spacing w:after="80" w:before="80"/>
      </w:pPr>
      <w:r>
        <w:rPr>
          <w:rFonts w:ascii="Arial" w:cs="Arial" w:eastAsia="Arial" w:hAnsi="Arial"/>
          <w:color w:val="333333"/>
          <w:sz w:val="20"/>
          <w:szCs w:val="20"/>
        </w:rPr>
        <w:t xml:space="preserve">El ecosistema regulatorio del conductor se compone de tres documentos complementarios:</w:t>
      </w:r>
    </w:p>
    <w:p>
      <w:pPr>
        <w:pStyle w:val="ListParagraph"/>
        <w:numPr>
          <w:ilvl w:val="0"/>
          <w:numId w:val="2"/>
        </w:numPr>
        <w:spacing w:after="60" w:before="60"/>
      </w:pPr>
      <w:r>
        <w:rPr>
          <w:rFonts w:ascii="Arial" w:cs="Arial" w:eastAsia="Arial" w:hAnsi="Arial"/>
          <w:color w:val="333333"/>
          <w:sz w:val="20"/>
          <w:szCs w:val="20"/>
        </w:rPr>
        <w:t xml:space="preserve">Normativa de los Conductores con Going: Obligaciones legales, responsabilidades civiles ante usuarios y terceros, y compromisos de calidad de servicio.</w:t>
      </w:r>
    </w:p>
    <w:p>
      <w:pPr>
        <w:pStyle w:val="ListParagraph"/>
        <w:numPr>
          <w:ilvl w:val="0"/>
          <w:numId w:val="2"/>
        </w:numPr>
        <w:spacing w:after="60" w:before="60"/>
      </w:pPr>
      <w:r>
        <w:rPr>
          <w:rFonts w:ascii="Arial" w:cs="Arial" w:eastAsia="Arial" w:hAnsi="Arial"/>
          <w:color w:val="333333"/>
          <w:sz w:val="20"/>
          <w:szCs w:val="20"/>
        </w:rPr>
        <w:t xml:space="preserve">Normativas Conductores Going (Guías App): Procedimientos operativos detallados para el uso de la Driver App; gestión de solicitudes, tiempos de espera y calificaciones.</w:t>
      </w:r>
    </w:p>
    <w:p>
      <w:pPr>
        <w:pStyle w:val="ListParagraph"/>
        <w:numPr>
          <w:ilvl w:val="0"/>
          <w:numId w:val="2"/>
        </w:numPr>
        <w:spacing w:after="60" w:before="60"/>
      </w:pPr>
      <w:r>
        <w:rPr>
          <w:rFonts w:ascii="Arial" w:cs="Arial" w:eastAsia="Arial" w:hAnsi="Arial"/>
          <w:color w:val="333333"/>
          <w:sz w:val="20"/>
          <w:szCs w:val="20"/>
        </w:rPr>
        <w:t xml:space="preserve">Tu Primer Viaje con Going: Guía de onboarding con recomendaciones prácticas de preparación del vehículo y estándares de presentación personal.</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3.5 Normativas y Políticas para Usuarios</w:t>
      </w:r>
    </w:p>
    <w:p>
      <w:pPr>
        <w:spacing w:after="80" w:before="80"/>
      </w:pPr>
      <w:r>
        <w:rPr>
          <w:rFonts w:ascii="Arial" w:cs="Arial" w:eastAsia="Arial" w:hAnsi="Arial"/>
          <w:color w:val="333333"/>
          <w:sz w:val="20"/>
          <w:szCs w:val="20"/>
        </w:rPr>
        <w:t xml:space="preserve">Tres documentos configuran el marco de comportamiento del usuario:</w:t>
      </w:r>
    </w:p>
    <w:p>
      <w:pPr>
        <w:pStyle w:val="ListParagraph"/>
        <w:numPr>
          <w:ilvl w:val="0"/>
          <w:numId w:val="2"/>
        </w:numPr>
        <w:spacing w:after="60" w:before="60"/>
      </w:pPr>
      <w:r>
        <w:rPr>
          <w:rFonts w:ascii="Arial" w:cs="Arial" w:eastAsia="Arial" w:hAnsi="Arial"/>
          <w:color w:val="333333"/>
          <w:sz w:val="20"/>
          <w:szCs w:val="20"/>
        </w:rPr>
        <w:t xml:space="preserve">Normativa de los Usuarios de la Plataforma: Derechos y obligaciones; aclara que Going no es responsable de los actos del conductor.</w:t>
      </w:r>
    </w:p>
    <w:p>
      <w:pPr>
        <w:pStyle w:val="ListParagraph"/>
        <w:numPr>
          <w:ilvl w:val="0"/>
          <w:numId w:val="2"/>
        </w:numPr>
        <w:spacing w:after="60" w:before="60"/>
      </w:pPr>
      <w:r>
        <w:rPr>
          <w:rFonts w:ascii="Arial" w:cs="Arial" w:eastAsia="Arial" w:hAnsi="Arial"/>
          <w:color w:val="333333"/>
          <w:sz w:val="20"/>
          <w:szCs w:val="20"/>
        </w:rPr>
        <w:t xml:space="preserve">Manual de Políticas para Usuarios Going: Reglas de conducta dentro del vehículo (cinturón, respeto al conductor, cuidado del vehículo).</w:t>
      </w:r>
    </w:p>
    <w:p>
      <w:pPr>
        <w:pStyle w:val="ListParagraph"/>
        <w:numPr>
          <w:ilvl w:val="0"/>
          <w:numId w:val="2"/>
        </w:numPr>
        <w:spacing w:after="60" w:before="60"/>
      </w:pPr>
      <w:r>
        <w:rPr>
          <w:rFonts w:ascii="Arial" w:cs="Arial" w:eastAsia="Arial" w:hAnsi="Arial"/>
          <w:color w:val="333333"/>
          <w:sz w:val="20"/>
          <w:szCs w:val="20"/>
        </w:rPr>
        <w:t xml:space="preserve">Normas Comunitarias Going: Código de convivencia comunitaria aplicable a todos los actores de la plataforma.</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3.6 Material de Atracción de Conductores</w:t>
      </w:r>
    </w:p>
    <w:p>
      <w:pPr>
        <w:spacing w:after="80" w:before="80"/>
      </w:pPr>
      <w:r>
        <w:rPr>
          <w:rFonts w:ascii="Arial" w:cs="Arial" w:eastAsia="Arial" w:hAnsi="Arial"/>
          <w:color w:val="333333"/>
          <w:sz w:val="20"/>
          <w:szCs w:val="20"/>
        </w:rPr>
        <w:t xml:space="preserve">El documento "Conductor: ¿Por Qué Elegirnos?" es una pieza de marketing y reclutamiento. Destaca horario flexible, potencial de ingresos, precios dinámicos en horas punta y beneficios adicionales. Si bien no es un documento legal per se, forma parte del marco de comunicación pre-contractual y establece expectativas que deben estar alineadas con los contratos formales.</w:t>
      </w:r>
    </w:p>
    <w:p>
      <w:r>
        <w:br w:type="page"/>
      </w:r>
    </w:p>
    <w:p>
      <w:pPr>
        <w:pStyle w:val="Heading1"/>
        <w:shd w:fill="1A2F4B" w:val="clear"/>
        <w:spacing w:after="200" w:before="360"/>
        <w:ind w:left="200" w:right="200"/>
      </w:pPr>
      <w:r>
        <w:rPr>
          <w:rFonts w:ascii="Arial" w:cs="Arial" w:eastAsia="Arial" w:hAnsi="Arial"/>
          <w:b/>
          <w:bCs/>
          <w:color w:val="FFFFFF"/>
          <w:sz w:val="28"/>
          <w:szCs w:val="28"/>
        </w:rPr>
        <w:t xml:space="preserve">4. ETAPA 2 — SEGURIDAD Y CUMPLIMIENTO</w:t>
      </w:r>
    </w:p>
    <w:p>
      <w:pPr>
        <w:spacing w:after="80" w:before="80"/>
      </w:pPr>
      <w:r>
        <w:rPr>
          <w:rFonts w:ascii="Arial" w:cs="Arial" w:eastAsia="Arial" w:hAnsi="Arial"/>
          <w:color w:val="333333"/>
          <w:sz w:val="20"/>
          <w:szCs w:val="20"/>
        </w:rPr>
        <w:t xml:space="preserve">Esta etapa agrupa los documentos que garantizan el cumplimiento normativo de Going en materia de protección de datos personales (LOPDP de Ecuador), seguridad física de los usuarios y protocolos de emergencia. Son instrumentos críticos tanto para la operación cotidiana como para auditorías regulatorias o procesos de due diligence.</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4.1 Marco de Privacidad y Protección de Datos</w:t>
      </w:r>
    </w:p>
    <w:p>
      <w:pPr>
        <w:spacing w:after="80" w:before="80"/>
      </w:pPr>
      <w:r>
        <w:rPr>
          <w:rFonts w:ascii="Arial" w:cs="Arial" w:eastAsia="Arial" w:hAnsi="Arial"/>
          <w:color w:val="333333"/>
          <w:sz w:val="20"/>
          <w:szCs w:val="20"/>
        </w:rPr>
        <w:t xml:space="preserve">Going cuenta con cuatro instrumentos en este ámbito:</w:t>
      </w:r>
    </w:p>
    <w:p>
      <w:pPr>
        <w:pStyle w:val="ListParagraph"/>
        <w:numPr>
          <w:ilvl w:val="0"/>
          <w:numId w:val="2"/>
        </w:numPr>
        <w:spacing w:after="60" w:before="60"/>
      </w:pPr>
      <w:r>
        <w:rPr>
          <w:rFonts w:ascii="Arial" w:cs="Arial" w:eastAsia="Arial" w:hAnsi="Arial"/>
          <w:color w:val="333333"/>
          <w:sz w:val="20"/>
          <w:szCs w:val="20"/>
        </w:rPr>
        <w:t xml:space="preserve">Aviso de Privacidad y Tratamiento de Datos: Política principal dirigida a usuarios y conductores. Describe categorías de datos recopilados (identificación, ubicación, dispositivo, pago), finalidades de uso, transferencias internacionales y derechos ARCO.</w:t>
      </w:r>
    </w:p>
    <w:p>
      <w:pPr>
        <w:pStyle w:val="ListParagraph"/>
        <w:numPr>
          <w:ilvl w:val="0"/>
          <w:numId w:val="2"/>
        </w:numPr>
        <w:spacing w:after="60" w:before="60"/>
      </w:pPr>
      <w:r>
        <w:rPr>
          <w:rFonts w:ascii="Arial" w:cs="Arial" w:eastAsia="Arial" w:hAnsi="Arial"/>
          <w:color w:val="333333"/>
          <w:sz w:val="20"/>
          <w:szCs w:val="20"/>
        </w:rPr>
        <w:t xml:space="preserve">Términos de Tratamiento de Datos y Privacidad de Going: Versión extendida con mayor detalle técnico y jurídico. Existe cierta redundancia con el Aviso principal que conviene unificar en una futura revisión.</w:t>
      </w:r>
    </w:p>
    <w:p>
      <w:pPr>
        <w:pStyle w:val="ListParagraph"/>
        <w:numPr>
          <w:ilvl w:val="0"/>
          <w:numId w:val="2"/>
        </w:numPr>
        <w:spacing w:after="60" w:before="60"/>
      </w:pPr>
      <w:r>
        <w:rPr>
          <w:rFonts w:ascii="Arial" w:cs="Arial" w:eastAsia="Arial" w:hAnsi="Arial"/>
          <w:color w:val="333333"/>
          <w:sz w:val="20"/>
          <w:szCs w:val="20"/>
        </w:rPr>
        <w:t xml:space="preserve">Aviso de Privacidad para Aspirantes y Empleados: Regula el tratamiento de datos de candidatos y personal de Thorn Cía. Ltda., separando claramente este ámbito del tratamiento de datos de usuarios.</w:t>
      </w:r>
    </w:p>
    <w:p>
      <w:pPr>
        <w:pStyle w:val="ListParagraph"/>
        <w:numPr>
          <w:ilvl w:val="0"/>
          <w:numId w:val="2"/>
        </w:numPr>
        <w:spacing w:after="60" w:before="60"/>
      </w:pPr>
      <w:r>
        <w:rPr>
          <w:rFonts w:ascii="Arial" w:cs="Arial" w:eastAsia="Arial" w:hAnsi="Arial"/>
          <w:color w:val="333333"/>
          <w:sz w:val="20"/>
          <w:szCs w:val="20"/>
        </w:rPr>
        <w:t xml:space="preserve">Aceptación de Uso de Datos 2024: Formulario de consentimiento expreso que autoriza a Going a tratar los datos del firmante, incluyendo cesión a empresas del grupo y envíos de comunicaciones comerciales.</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4.2 Seguridad Física y Estándares Vehiculares</w:t>
      </w:r>
    </w:p>
    <w:p>
      <w:pPr>
        <w:spacing w:after="80" w:before="80"/>
      </w:pPr>
      <w:r>
        <w:rPr>
          <w:rFonts w:ascii="Arial" w:cs="Arial" w:eastAsia="Arial" w:hAnsi="Arial"/>
          <w:color w:val="333333"/>
          <w:sz w:val="20"/>
          <w:szCs w:val="20"/>
        </w:rPr>
        <w:t xml:space="preserve">Los Estándares Mínimos de Seguridad establecen los requisitos técnicos que todo vehículo debe cumplir para operar en la plataforma: airbags frontales, frenos ABS, control de estabilidad (ESC), cinturones de 3 puntos, apoyacabezas ajustables y estructura anti-vuelco. Este documento debe complementarse con una tabla de verificación periódica y el proceso de auditoría vehicular que ya se ha implementado a nivel operativo.</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4.3 Protocolos de Seguridad en Viaje</w:t>
      </w:r>
    </w:p>
    <w:p>
      <w:pPr>
        <w:spacing w:after="80" w:before="80"/>
      </w:pPr>
      <w:r>
        <w:rPr>
          <w:rFonts w:ascii="Arial" w:cs="Arial" w:eastAsia="Arial" w:hAnsi="Arial"/>
          <w:color w:val="333333"/>
          <w:sz w:val="20"/>
          <w:szCs w:val="20"/>
        </w:rPr>
        <w:t xml:space="preserve">Tres documentos regulan la seguridad durante el servicio:</w:t>
      </w:r>
    </w:p>
    <w:p>
      <w:pPr>
        <w:pStyle w:val="ListParagraph"/>
        <w:numPr>
          <w:ilvl w:val="0"/>
          <w:numId w:val="2"/>
        </w:numPr>
        <w:spacing w:after="60" w:before="60"/>
      </w:pPr>
      <w:r>
        <w:rPr>
          <w:rFonts w:ascii="Arial" w:cs="Arial" w:eastAsia="Arial" w:hAnsi="Arial"/>
          <w:color w:val="333333"/>
          <w:sz w:val="20"/>
          <w:szCs w:val="20"/>
        </w:rPr>
        <w:t xml:space="preserve">Política de Cero Tolerancia: Prohibición absoluta del uso de alcohol o drogas por conductores. Establece el protocolo para que el usuario termine el viaje de inmediato y reporte el incidente.</w:t>
      </w:r>
    </w:p>
    <w:p>
      <w:pPr>
        <w:pStyle w:val="ListParagraph"/>
        <w:numPr>
          <w:ilvl w:val="0"/>
          <w:numId w:val="2"/>
        </w:numPr>
        <w:spacing w:after="60" w:before="60"/>
      </w:pPr>
      <w:r>
        <w:rPr>
          <w:rFonts w:ascii="Arial" w:cs="Arial" w:eastAsia="Arial" w:hAnsi="Arial"/>
          <w:color w:val="333333"/>
          <w:sz w:val="20"/>
          <w:szCs w:val="20"/>
        </w:rPr>
        <w:t xml:space="preserve">Compartir en Caso de Emergencia: Regula la compartición voluntaria de datos de ubicación, datos del vehículo y datos del conductor con operadores del 911. El usuario puede activar/desactivar esta función.</w:t>
      </w:r>
    </w:p>
    <w:p>
      <w:pPr>
        <w:pStyle w:val="ListParagraph"/>
        <w:numPr>
          <w:ilvl w:val="0"/>
          <w:numId w:val="2"/>
        </w:numPr>
        <w:spacing w:after="60" w:before="60"/>
      </w:pPr>
      <w:r>
        <w:rPr>
          <w:rFonts w:ascii="Arial" w:cs="Arial" w:eastAsia="Arial" w:hAnsi="Arial"/>
          <w:color w:val="333333"/>
          <w:sz w:val="20"/>
          <w:szCs w:val="20"/>
        </w:rPr>
        <w:t xml:space="preserve">Tecnología Going y Seguridad de la Plataforma: T&amp;C técnicos de uso de la app por conductores, incluyendo limitaciones de responsabilidad de Going frente a fallos tecnológicos.</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4.4 Soporte y Gestión de Reclamos</w:t>
      </w:r>
    </w:p>
    <w:p>
      <w:pPr>
        <w:spacing w:after="80" w:before="80"/>
      </w:pPr>
      <w:r>
        <w:rPr>
          <w:rFonts w:ascii="Arial" w:cs="Arial" w:eastAsia="Arial" w:hAnsi="Arial"/>
          <w:color w:val="333333"/>
          <w:sz w:val="20"/>
          <w:szCs w:val="20"/>
        </w:rPr>
        <w:t xml:space="preserve">El documento de Asistencia al Usuario Going describe el flujo de 8 pasos para que un usuario presente un reclamo desde la app: identificar el viaje, seleccionar el motivo, adjuntar evidencia y enviar. Establece el canal app/web como primario y el correo electrónico como secundario. Este documento debe mantenerse sincronizado con las funcionalidades reales de soporte implementadas en la plataforma.</w:t>
      </w:r>
    </w:p>
    <w:p>
      <w:r>
        <w:br w:type="page"/>
      </w:r>
    </w:p>
    <w:p>
      <w:pPr>
        <w:pStyle w:val="Heading1"/>
        <w:shd w:fill="1A2F4B" w:val="clear"/>
        <w:spacing w:after="200" w:before="360"/>
        <w:ind w:left="200" w:right="200"/>
      </w:pPr>
      <w:r>
        <w:rPr>
          <w:rFonts w:ascii="Arial" w:cs="Arial" w:eastAsia="Arial" w:hAnsi="Arial"/>
          <w:b/>
          <w:bCs/>
          <w:color w:val="FFFFFF"/>
          <w:sz w:val="28"/>
          <w:szCs w:val="28"/>
        </w:rPr>
        <w:t xml:space="preserve">5. ETAPA 3 — CRECIMIENTO DE PRODUCTO</w:t>
      </w:r>
    </w:p>
    <w:p>
      <w:pPr>
        <w:spacing w:after="80" w:before="80"/>
      </w:pPr>
      <w:r>
        <w:rPr>
          <w:rFonts w:ascii="Arial" w:cs="Arial" w:eastAsia="Arial" w:hAnsi="Arial"/>
          <w:color w:val="333333"/>
          <w:sz w:val="20"/>
          <w:szCs w:val="20"/>
        </w:rPr>
        <w:t xml:space="preserve">Esta etapa contiene los marcos legales de los productos y servicios adicionales que Going ha lanzado o está desarrollando más allá del transporte de pasajeros core. Cada producto tiene su propio ecosistema documental que replica la estructura base (T&amp;C + normativas operativas).</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5.1 Going Envíos — Marco Legal Completo</w:t>
      </w:r>
    </w:p>
    <w:p>
      <w:pPr>
        <w:spacing w:after="80" w:before="80"/>
      </w:pPr>
      <w:r>
        <w:rPr>
          <w:rFonts w:ascii="Arial" w:cs="Arial" w:eastAsia="Arial" w:hAnsi="Arial"/>
          <w:color w:val="333333"/>
          <w:sz w:val="20"/>
          <w:szCs w:val="20"/>
        </w:rPr>
        <w:t xml:space="preserve">El servicio de envío de paquetes y documentos cuenta con el conjunto más robusto de documentación propia:</w:t>
      </w:r>
    </w:p>
    <w:p>
      <w:pPr>
        <w:pStyle w:val="ListParagraph"/>
        <w:numPr>
          <w:ilvl w:val="0"/>
          <w:numId w:val="2"/>
        </w:numPr>
        <w:spacing w:after="60" w:before="60"/>
      </w:pPr>
      <w:r>
        <w:rPr>
          <w:rFonts w:ascii="Arial" w:cs="Arial" w:eastAsia="Arial" w:hAnsi="Arial"/>
          <w:color w:val="333333"/>
          <w:sz w:val="20"/>
          <w:szCs w:val="20"/>
        </w:rPr>
        <w:t xml:space="preserve">Going Envíos: Condiciones y Normativas: Marco general; cubre seguridad de la carga, responsabilidades del conductor-mensajero y condiciones de entrega.</w:t>
      </w:r>
    </w:p>
    <w:p>
      <w:pPr>
        <w:pStyle w:val="ListParagraph"/>
        <w:numPr>
          <w:ilvl w:val="0"/>
          <w:numId w:val="2"/>
        </w:numPr>
        <w:spacing w:after="60" w:before="60"/>
      </w:pPr>
      <w:r>
        <w:rPr>
          <w:rFonts w:ascii="Arial" w:cs="Arial" w:eastAsia="Arial" w:hAnsi="Arial"/>
          <w:color w:val="333333"/>
          <w:sz w:val="20"/>
          <w:szCs w:val="20"/>
        </w:rPr>
        <w:t xml:space="preserve">Términos y Condiciones de Going Envíos: Documento completo con artículos prohibidos, sistema legal aplicable, registro de cuentas, horarios de entrega, áreas de servicio y coberturas de seguro.</w:t>
      </w:r>
    </w:p>
    <w:p>
      <w:pPr>
        <w:pStyle w:val="ListParagraph"/>
        <w:numPr>
          <w:ilvl w:val="0"/>
          <w:numId w:val="2"/>
        </w:numPr>
        <w:spacing w:after="60" w:before="60"/>
      </w:pPr>
      <w:r>
        <w:rPr>
          <w:rFonts w:ascii="Arial" w:cs="Arial" w:eastAsia="Arial" w:hAnsi="Arial"/>
          <w:color w:val="333333"/>
          <w:sz w:val="20"/>
          <w:szCs w:val="20"/>
        </w:rPr>
        <w:t xml:space="preserve">Normativas para Going Envíos: Versión complementaria con mayor detalle en artículos prohibidos (CBD, THC, drogas, armas) y obligaciones de cumplimiento legal.</w:t>
      </w:r>
    </w:p>
    <w:p>
      <w:pPr>
        <w:pStyle w:val="ListParagraph"/>
        <w:numPr>
          <w:ilvl w:val="0"/>
          <w:numId w:val="2"/>
        </w:numPr>
        <w:spacing w:after="60" w:before="60"/>
      </w:pPr>
      <w:r>
        <w:rPr>
          <w:rFonts w:ascii="Arial" w:cs="Arial" w:eastAsia="Arial" w:hAnsi="Arial"/>
          <w:color w:val="333333"/>
          <w:sz w:val="20"/>
          <w:szCs w:val="20"/>
        </w:rPr>
        <w:t xml:space="preserve">Envíos: Artículos Prohibidos: Lista específica y detallada de productos no transportables. Importante para la responsabilidad civil y la gestión de incidentes.</w:t>
      </w:r>
    </w:p>
    <w:p>
      <w:pPr>
        <w:pStyle w:val="ListParagraph"/>
        <w:numPr>
          <w:ilvl w:val="0"/>
          <w:numId w:val="2"/>
        </w:numPr>
        <w:spacing w:after="60" w:before="60"/>
      </w:pPr>
      <w:r>
        <w:rPr>
          <w:rFonts w:ascii="Arial" w:cs="Arial" w:eastAsia="Arial" w:hAnsi="Arial"/>
          <w:color w:val="333333"/>
          <w:sz w:val="20"/>
          <w:szCs w:val="20"/>
        </w:rPr>
        <w:t xml:space="preserve">Manejo de Envíos (Capacitación): Programa de entrenamiento para conductores-mensajeros; cubre empaquetado, manejo de frágiles, verificación de destinatarios y protocolos de no entrega.</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5.2 Programa de Referidos</w:t>
      </w:r>
    </w:p>
    <w:p>
      <w:pPr>
        <w:spacing w:after="80" w:before="80"/>
      </w:pPr>
      <w:r>
        <w:rPr>
          <w:rFonts w:ascii="Arial" w:cs="Arial" w:eastAsia="Arial" w:hAnsi="Arial"/>
          <w:color w:val="333333"/>
          <w:sz w:val="20"/>
          <w:szCs w:val="20"/>
        </w:rPr>
        <w:t xml:space="preserve">Las Condiciones del Programa de Referidos regulan la mecánica de incentivos para el crecimiento orgánico: generación de códigos, elegibilidad, tipos de recompensas (descuentos, cashback), restricciones de uso (sin transferencia, sin efectivo) y derecho de Going a modificar o cancelar el programa. Es un documento sólido que puede adaptarse para programas de referidos B2B orientados a empresas corporativas.</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5.3 Tarjeta de Regalo Going</w:t>
      </w:r>
    </w:p>
    <w:p>
      <w:pPr>
        <w:spacing w:after="80" w:before="80"/>
      </w:pPr>
      <w:r>
        <w:rPr>
          <w:rFonts w:ascii="Arial" w:cs="Arial" w:eastAsia="Arial" w:hAnsi="Arial"/>
          <w:color w:val="333333"/>
          <w:sz w:val="20"/>
          <w:szCs w:val="20"/>
        </w:rPr>
        <w:t xml:space="preserve">Regula la emisión, venta y canje de gift cards físicas y digitales. Requiere cuenta activa en la app para el canje, establece plazos de vigencia y condiciones de no reembolso. Es relevante para estrategias de fidelización y canales de distribución retail. Se recomienda verificar la compatibilidad con la normativa tributaria ecuatoriana aplicable a instrumentos prepagos.</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5.4 Contenido Generado por el Usuario</w:t>
      </w:r>
    </w:p>
    <w:p>
      <w:pPr>
        <w:spacing w:after="80" w:before="80"/>
      </w:pPr>
      <w:r>
        <w:rPr>
          <w:rFonts w:ascii="Arial" w:cs="Arial" w:eastAsia="Arial" w:hAnsi="Arial"/>
          <w:color w:val="333333"/>
          <w:sz w:val="20"/>
          <w:szCs w:val="20"/>
        </w:rPr>
        <w:t xml:space="preserve">Las Condiciones para Contenido Generado por el Usuario (CGU) regulan reseñas, comentarios, fotos y cualquier contenido que usuarios, conductores, comercios y socios publiquen en la plataforma. Going se reserva la licencia no exclusiva y libre de regalías para usar, reproducir y distribuir el CGU. Este documento es relevante para la estrategia de reputación de la plataforma y para el módulo de NPS implementado en el admin-dashboard.</w:t>
      </w:r>
    </w:p>
    <w:p>
      <w:r>
        <w:br w:type="page"/>
      </w:r>
    </w:p>
    <w:p>
      <w:pPr>
        <w:pStyle w:val="Heading1"/>
        <w:shd w:fill="1A2F4B" w:val="clear"/>
        <w:spacing w:after="200" w:before="360"/>
        <w:ind w:left="200" w:right="200"/>
      </w:pPr>
      <w:r>
        <w:rPr>
          <w:rFonts w:ascii="Arial" w:cs="Arial" w:eastAsia="Arial" w:hAnsi="Arial"/>
          <w:b/>
          <w:bCs/>
          <w:color w:val="FFFFFF"/>
          <w:sz w:val="28"/>
          <w:szCs w:val="28"/>
        </w:rPr>
        <w:t xml:space="preserve">6. ETAPA 4 — ESCALABILIDAD E INVERSIÓN</w:t>
      </w:r>
    </w:p>
    <w:p>
      <w:pPr>
        <w:spacing w:after="80" w:before="80"/>
      </w:pPr>
      <w:r>
        <w:rPr>
          <w:rFonts w:ascii="Arial" w:cs="Arial" w:eastAsia="Arial" w:hAnsi="Arial"/>
          <w:color w:val="333333"/>
          <w:sz w:val="20"/>
          <w:szCs w:val="20"/>
        </w:rPr>
        <w:t xml:space="preserve">Esta etapa agrupa los documentos de mayor relevancia para procesos de due diligence, inversión, expansión regional o negociaciones con socios estratégicos. Proyectan la identidad corporativa y el posicionamiento de propiedad intelectual de Going.</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6.1 Going Legal — Documento Institucional</w:t>
      </w:r>
    </w:p>
    <w:p>
      <w:pPr>
        <w:spacing w:after="80" w:before="80"/>
      </w:pPr>
      <w:r>
        <w:rPr>
          <w:rFonts w:ascii="Arial" w:cs="Arial" w:eastAsia="Arial" w:hAnsi="Arial"/>
          <w:color w:val="333333"/>
          <w:sz w:val="20"/>
          <w:szCs w:val="20"/>
        </w:rPr>
        <w:t xml:space="preserve">Este documento presenta la visión, misión y valores de Going, junto con las ventajas competitivas de la plataforma. Incluye la Política de Recolección y Tratamiento de Datos como sección integrada. Actualmente está incompleto (varias secciones contienen solo encabezados sin desarrollo). Se recomienda convertirlo en el documento de presentación corporativa principal, con desarrollo completo de cada sección para su uso en procesos de inversión.</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6.2 Manual de Operaciones Going — Estructura Legal Corporativa</w:t>
      </w:r>
    </w:p>
    <w:p>
      <w:pPr>
        <w:spacing w:after="80" w:before="80"/>
      </w:pPr>
      <w:r>
        <w:rPr>
          <w:rFonts w:ascii="Arial" w:cs="Arial" w:eastAsia="Arial" w:hAnsi="Arial"/>
          <w:color w:val="333333"/>
          <w:sz w:val="20"/>
          <w:szCs w:val="20"/>
        </w:rPr>
        <w:t xml:space="preserve">Documento de alto valor estratégico que mapea las actividades de Thorn Cía. Ltda. (razón social de Going) bajo el Clasificador Internacional Industrial Uniforme (CIIU 4.0). Identifica las categorías de actividad económica que deben estar registradas para dar cobertura legal a todos los servicios de la super app: desarrollo de software, operación de marketplace, intermediación de servicios, logística y capacitación. Actualmente incompleto; su finalización es prioritaria para procesos regulatorios y fiscales.</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6.3 Propiedad Intelectual</w:t>
      </w:r>
    </w:p>
    <w:p>
      <w:pPr>
        <w:spacing w:after="80" w:before="80"/>
      </w:pPr>
      <w:r>
        <w:rPr>
          <w:rFonts w:ascii="Arial" w:cs="Arial" w:eastAsia="Arial" w:hAnsi="Arial"/>
          <w:color w:val="333333"/>
          <w:sz w:val="20"/>
          <w:szCs w:val="20"/>
        </w:rPr>
        <w:t xml:space="preserve">Going cuenta con dos políticas complementarias de protección de PI:</w:t>
      </w:r>
    </w:p>
    <w:p>
      <w:pPr>
        <w:pStyle w:val="ListParagraph"/>
        <w:numPr>
          <w:ilvl w:val="0"/>
          <w:numId w:val="2"/>
        </w:numPr>
        <w:spacing w:after="60" w:before="60"/>
      </w:pPr>
      <w:r>
        <w:rPr>
          <w:rFonts w:ascii="Arial" w:cs="Arial" w:eastAsia="Arial" w:hAnsi="Arial"/>
          <w:color w:val="333333"/>
          <w:sz w:val="20"/>
          <w:szCs w:val="20"/>
        </w:rPr>
        <w:t xml:space="preserve">Política de Derechos de Autor: Procedimiento para recibir y procesar notificaciones DMCA de infracción de copyright. Define el agente designado, los elementos requeridos en una notificación válida, el proceso de contra-notificación y la política de cancelación de cuentas reincidentes.</w:t>
      </w:r>
    </w:p>
    <w:p>
      <w:pPr>
        <w:pStyle w:val="ListParagraph"/>
        <w:numPr>
          <w:ilvl w:val="0"/>
          <w:numId w:val="2"/>
        </w:numPr>
        <w:spacing w:after="60" w:before="60"/>
      </w:pPr>
      <w:r>
        <w:rPr>
          <w:rFonts w:ascii="Arial" w:cs="Arial" w:eastAsia="Arial" w:hAnsi="Arial"/>
          <w:color w:val="333333"/>
          <w:sz w:val="20"/>
          <w:szCs w:val="20"/>
        </w:rPr>
        <w:t xml:space="preserve">Política de Marcas Registradas: Marco análogo para la protección de la marca Going Technologies, incluyendo el proceso de reporte de uso no autorizado de la marca y el tratamiento de cuentas que infrinjan derechos de marca.</w:t>
      </w:r>
    </w:p>
    <w:p>
      <w:pPr>
        <w:spacing w:after="80" w:before="80"/>
      </w:pPr>
      <w:r>
        <w:rPr>
          <w:rFonts w:ascii="Arial" w:cs="Arial" w:eastAsia="Arial" w:hAnsi="Arial"/>
          <w:color w:val="333333"/>
          <w:sz w:val="20"/>
          <w:szCs w:val="20"/>
        </w:rPr>
        <w:t xml:space="preserve">Ambos documentos son instrumentos estándar bien estructurados. Se recomienda verificar que Going Technologies, Inc. sea la entidad registrada como titular de las marcas en el IEPI (Instituto Ecuatoriano de Propiedad Intelectual) y, de ser necesario, actualizar la denominación a Thorn Cía. Ltda. o a la entidad holding correspondiente.</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6.4 Términos de Pago del Servicio</w:t>
      </w:r>
    </w:p>
    <w:p>
      <w:pPr>
        <w:spacing w:after="80" w:before="80"/>
      </w:pPr>
      <w:r>
        <w:rPr>
          <w:rFonts w:ascii="Arial" w:cs="Arial" w:eastAsia="Arial" w:hAnsi="Arial"/>
          <w:color w:val="333333"/>
          <w:sz w:val="20"/>
          <w:szCs w:val="20"/>
        </w:rPr>
        <w:t xml:space="preserve">ESTADO: REVISAR — Este documento está basado en el template de Airbnb Payments y contiene referencias explícitas a Airbnb, la cláusula de arbitraje de la AAA (American Arbitration Association) y referencias a la legislación estadounidense. Debe ser completamente adaptado a la realidad de Going Ecuador, incluyendo: denominación de las partes (Thorn Cía. Ltda.), jurisdicción (Ecuador), normativa aplicable (Ley de Defensa del Consumidor, Código de Comercio), mecanismos de pago locales (transferencias, tarjetas, efectivo), y resolución de disputas ante mediadores ecuatorianos (CENAMI, CAM Quito).</w:t>
      </w:r>
    </w:p>
    <w:p>
      <w:r>
        <w:br w:type="page"/>
      </w:r>
    </w:p>
    <w:p>
      <w:pPr>
        <w:pStyle w:val="Heading1"/>
        <w:shd w:fill="1A2F4B" w:val="clear"/>
        <w:spacing w:after="200" w:before="360"/>
        <w:ind w:left="200" w:right="200"/>
      </w:pPr>
      <w:r>
        <w:rPr>
          <w:rFonts w:ascii="Arial" w:cs="Arial" w:eastAsia="Arial" w:hAnsi="Arial"/>
          <w:b/>
          <w:bCs/>
          <w:color w:val="FFFFFF"/>
          <w:sz w:val="28"/>
          <w:szCs w:val="28"/>
        </w:rPr>
        <w:t xml:space="preserve">7. ANÁLISIS DE BRECHAS Y RECOMENDACIONES</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7.1 Documentos que Requieren Acción Inmediata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560"/>
      </w:tblGrid>
      <w:tr>
        <w:trPr>
          <w:tblHeader/>
        </w:trPr>
        <w:tc>
          <w:tcPr>
            <w:tcW w:type="dxa" w:w="1200"/>
            <w:tcBorders>
              <w:top w:val="single" w:color="2E5F8A" w:sz="1"/>
              <w:left w:val="single" w:color="2E5F8A" w:sz="1"/>
              <w:bottom w:val="single" w:color="2E5F8A" w:sz="1"/>
              <w:right w:val="single" w:color="2E5F8A"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Prioridad</w:t>
            </w:r>
          </w:p>
        </w:tc>
        <w:tc>
          <w:tcPr>
            <w:tcW w:type="dxa" w:w="3200"/>
            <w:tcBorders>
              <w:top w:val="single" w:color="2E5F8A" w:sz="1"/>
              <w:left w:val="single" w:color="2E5F8A" w:sz="1"/>
              <w:bottom w:val="single" w:color="2E5F8A" w:sz="1"/>
              <w:right w:val="single" w:color="2E5F8A"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Documento</w:t>
            </w:r>
          </w:p>
        </w:tc>
        <w:tc>
          <w:tcPr>
            <w:tcW w:type="dxa" w:w="4560"/>
            <w:tcBorders>
              <w:top w:val="single" w:color="2E5F8A" w:sz="1"/>
              <w:left w:val="single" w:color="2E5F8A" w:sz="1"/>
              <w:bottom w:val="single" w:color="2E5F8A" w:sz="1"/>
              <w:right w:val="single" w:color="2E5F8A"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Acción Requerida</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 Alta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Términos de Pago (Doc. 33)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Reescribir completamente; eliminar referencias a Airbnb y adaptar a derecho ecuatoriano</w:t>
            </w:r>
          </w:p>
        </w:tc>
      </w:tr>
      <w:tr>
        <w:tc>
          <w:tcPr>
            <w:tcW w:type="dxa" w:w="1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 Alta</w:t>
            </w:r>
          </w:p>
        </w:tc>
        <w:tc>
          <w:tcPr>
            <w:tcW w:type="dxa" w:w="3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Manual de Operaciones (Doc. 30)</w:t>
            </w:r>
          </w:p>
        </w:tc>
        <w:tc>
          <w:tcPr>
            <w:tcW w:type="dxa" w:w="4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Completar secciones CIIU; crítico para habilitación regulatoria</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 Alta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Going Legal (Doc. 29)</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Desarrollar todas las secciones vacías para uso en due diligence</w:t>
            </w:r>
          </w:p>
        </w:tc>
      </w:tr>
      <w:tr>
        <w:tc>
          <w:tcPr>
            <w:tcW w:type="dxa" w:w="1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 Media</w:t>
            </w:r>
          </w:p>
        </w:tc>
        <w:tc>
          <w:tcPr>
            <w:tcW w:type="dxa" w:w="3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Estándares de Seguridad (Doc. 16)</w:t>
            </w:r>
          </w:p>
        </w:tc>
        <w:tc>
          <w:tcPr>
            <w:tcW w:type="dxa" w:w="4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Agregar tabla de verificación periódica y proceso de auditoría vehicular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 Media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Contratos (Docs. 02 y 03)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Completar campos en blanco; agregar fecha y notaría de firma</w:t>
            </w:r>
          </w:p>
        </w:tc>
      </w:tr>
      <w:tr>
        <w:tc>
          <w:tcPr>
            <w:tcW w:type="dxa" w:w="1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 Baja</w:t>
            </w:r>
          </w:p>
        </w:tc>
        <w:tc>
          <w:tcPr>
            <w:tcW w:type="dxa" w:w="3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Avisos de Privacidad (Docs. 12 y 13)</w:t>
            </w:r>
          </w:p>
        </w:tc>
        <w:tc>
          <w:tcPr>
            <w:tcW w:type="dxa" w:w="45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Unificar en un solo documento maestro para evitar redundancias</w:t>
            </w:r>
          </w:p>
        </w:tc>
      </w:tr>
    </w:tbl>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7.2 Documentos Ausentes Recomendados</w:t>
      </w:r>
    </w:p>
    <w:p>
      <w:pPr>
        <w:spacing w:after="80" w:before="80"/>
      </w:pPr>
      <w:r>
        <w:rPr>
          <w:rFonts w:ascii="Arial" w:cs="Arial" w:eastAsia="Arial" w:hAnsi="Arial"/>
          <w:color w:val="333333"/>
          <w:sz w:val="20"/>
          <w:szCs w:val="20"/>
        </w:rPr>
        <w:t xml:space="preserve">El análisis del inventario revela la necesidad de crear los siguientes instrumentos que actualmente no existen:</w:t>
      </w:r>
    </w:p>
    <w:p>
      <w:pPr>
        <w:pStyle w:val="ListParagraph"/>
        <w:numPr>
          <w:ilvl w:val="0"/>
          <w:numId w:val="2"/>
        </w:numPr>
        <w:spacing w:after="60" w:before="60"/>
      </w:pPr>
      <w:r>
        <w:rPr>
          <w:rFonts w:ascii="Arial" w:cs="Arial" w:eastAsia="Arial" w:hAnsi="Arial"/>
          <w:color w:val="333333"/>
          <w:sz w:val="20"/>
          <w:szCs w:val="20"/>
        </w:rPr>
        <w:t xml:space="preserve">SLA (Service Level Agreement) Going Empresas: Marco contractual para clientes corporativos con compromisos de disponibilidad, tiempos de respuesta y penalidades.</w:t>
      </w:r>
    </w:p>
    <w:p>
      <w:pPr>
        <w:pStyle w:val="ListParagraph"/>
        <w:numPr>
          <w:ilvl w:val="0"/>
          <w:numId w:val="2"/>
        </w:numPr>
        <w:spacing w:after="60" w:before="60"/>
      </w:pPr>
      <w:r>
        <w:rPr>
          <w:rFonts w:ascii="Arial" w:cs="Arial" w:eastAsia="Arial" w:hAnsi="Arial"/>
          <w:color w:val="333333"/>
          <w:sz w:val="20"/>
          <w:szCs w:val="20"/>
        </w:rPr>
        <w:t xml:space="preserve">Acuerdo de Nivel de Servicio para Conductores Premium: Contrato diferenciado para conductores Going+ o Going Business.</w:t>
      </w:r>
    </w:p>
    <w:p>
      <w:pPr>
        <w:pStyle w:val="ListParagraph"/>
        <w:numPr>
          <w:ilvl w:val="0"/>
          <w:numId w:val="2"/>
        </w:numPr>
        <w:spacing w:after="60" w:before="60"/>
      </w:pPr>
      <w:r>
        <w:rPr>
          <w:rFonts w:ascii="Arial" w:cs="Arial" w:eastAsia="Arial" w:hAnsi="Arial"/>
          <w:color w:val="333333"/>
          <w:sz w:val="20"/>
          <w:szCs w:val="20"/>
        </w:rPr>
        <w:t xml:space="preserve">Política de Reembolsos y Compensaciones: Documento específico que regule los casos de cancelación, no show, incidentes y criterios de reembolso automático.</w:t>
      </w:r>
    </w:p>
    <w:p>
      <w:pPr>
        <w:pStyle w:val="ListParagraph"/>
        <w:numPr>
          <w:ilvl w:val="0"/>
          <w:numId w:val="2"/>
        </w:numPr>
        <w:spacing w:after="60" w:before="60"/>
      </w:pPr>
      <w:r>
        <w:rPr>
          <w:rFonts w:ascii="Arial" w:cs="Arial" w:eastAsia="Arial" w:hAnsi="Arial"/>
          <w:color w:val="333333"/>
          <w:sz w:val="20"/>
          <w:szCs w:val="20"/>
        </w:rPr>
        <w:t xml:space="preserve">Política de Datos para Going Empresas: Addendum de privacidad para clientes corporativos que gestionen datos de empleados en la plataforma.</w:t>
      </w:r>
    </w:p>
    <w:p>
      <w:pPr>
        <w:pStyle w:val="ListParagraph"/>
        <w:numPr>
          <w:ilvl w:val="0"/>
          <w:numId w:val="2"/>
        </w:numPr>
        <w:spacing w:after="60" w:before="60"/>
      </w:pPr>
      <w:r>
        <w:rPr>
          <w:rFonts w:ascii="Arial" w:cs="Arial" w:eastAsia="Arial" w:hAnsi="Arial"/>
          <w:color w:val="333333"/>
          <w:sz w:val="20"/>
          <w:szCs w:val="20"/>
        </w:rPr>
        <w:t xml:space="preserve">Acuerdo de Confidencialidad (NDA) estándar: Para negociaciones con socios, proveedores e inversores.</w:t>
      </w:r>
    </w:p>
    <w:p>
      <w:pPr>
        <w:pStyle w:val="ListParagraph"/>
        <w:numPr>
          <w:ilvl w:val="0"/>
          <w:numId w:val="2"/>
        </w:numPr>
        <w:spacing w:after="60" w:before="60"/>
      </w:pPr>
      <w:r>
        <w:rPr>
          <w:rFonts w:ascii="Arial" w:cs="Arial" w:eastAsia="Arial" w:hAnsi="Arial"/>
          <w:color w:val="333333"/>
          <w:sz w:val="20"/>
          <w:szCs w:val="20"/>
        </w:rPr>
        <w:t xml:space="preserve">Reglamento Interno de Conductores: Documento formal de disciplina y sanciones graduadas (advertencia, suspensión, desactivación).</w:t>
      </w:r>
    </w:p>
    <w:p>
      <w:pPr>
        <w:spacing w:after="60" w:before="60"/>
      </w:pPr>
      <w:r>
        <w:t xml:space="preserve"/>
      </w:r>
    </w:p>
    <w:p>
      <w:pPr>
        <w:pStyle w:val="Heading3"/>
        <w:pBdr>
          <w:bottom w:val="single" w:color="2E5F8A" w:sz="4" w:space="2"/>
        </w:pBdr>
        <w:spacing w:after="120" w:before="240"/>
      </w:pPr>
      <w:r>
        <w:rPr>
          <w:rFonts w:ascii="Arial" w:cs="Arial" w:eastAsia="Arial" w:hAnsi="Arial"/>
          <w:b/>
          <w:bCs/>
          <w:color w:val="1A2F4B"/>
          <w:sz w:val="22"/>
          <w:szCs w:val="22"/>
        </w:rPr>
        <w:t xml:space="preserve">7.3 Unificación y Consistencia</w:t>
      </w:r>
    </w:p>
    <w:p>
      <w:pPr>
        <w:spacing w:after="80" w:before="80"/>
      </w:pPr>
      <w:r>
        <w:rPr>
          <w:rFonts w:ascii="Arial" w:cs="Arial" w:eastAsia="Arial" w:hAnsi="Arial"/>
          <w:color w:val="333333"/>
          <w:sz w:val="20"/>
          <w:szCs w:val="20"/>
        </w:rPr>
        <w:t xml:space="preserve">Se identifican tres áreas donde existe fragmentación o inconsistencia entre documentos:</w:t>
      </w:r>
    </w:p>
    <w:p>
      <w:pPr>
        <w:pStyle w:val="ListParagraph"/>
        <w:numPr>
          <w:ilvl w:val="0"/>
          <w:numId w:val="2"/>
        </w:numPr>
        <w:spacing w:after="60" w:before="60"/>
      </w:pPr>
      <w:r>
        <w:rPr>
          <w:rFonts w:ascii="Arial" w:cs="Arial" w:eastAsia="Arial" w:hAnsi="Arial"/>
          <w:color w:val="333333"/>
          <w:sz w:val="20"/>
          <w:szCs w:val="20"/>
        </w:rPr>
        <w:t xml:space="preserve">Denominación legal: Algunos documentos usan "Going", otros "Going App", "GoingApp Ecuador" o "Thorn Cía. Ltda." — se recomienda establecer una denominación única y aplicarla a todo el inventario.</w:t>
      </w:r>
    </w:p>
    <w:p>
      <w:pPr>
        <w:pStyle w:val="ListParagraph"/>
        <w:numPr>
          <w:ilvl w:val="0"/>
          <w:numId w:val="2"/>
        </w:numPr>
        <w:spacing w:after="60" w:before="60"/>
      </w:pPr>
      <w:r>
        <w:rPr>
          <w:rFonts w:ascii="Arial" w:cs="Arial" w:eastAsia="Arial" w:hAnsi="Arial"/>
          <w:color w:val="333333"/>
          <w:sz w:val="20"/>
          <w:szCs w:val="20"/>
        </w:rPr>
        <w:t xml:space="preserve">Privacidad de datos: Los documentos 12 y 13 son sustancialmente similares. Fusionarlos en una única Política de Privacidad Going simplificaría el cumplimiento de la LOPDP.</w:t>
      </w:r>
    </w:p>
    <w:p>
      <w:pPr>
        <w:pStyle w:val="ListParagraph"/>
        <w:numPr>
          <w:ilvl w:val="0"/>
          <w:numId w:val="2"/>
        </w:numPr>
        <w:spacing w:after="60" w:before="60"/>
      </w:pPr>
      <w:r>
        <w:rPr>
          <w:rFonts w:ascii="Arial" w:cs="Arial" w:eastAsia="Arial" w:hAnsi="Arial"/>
          <w:color w:val="333333"/>
          <w:sz w:val="20"/>
          <w:szCs w:val="20"/>
        </w:rPr>
        <w:t xml:space="preserve">Envíos: Los documentos 21, 22 y 23 tienen estructura parcialmente redundante. Se recomienda un único T&amp;C Going Envíos consolidado con un anexo de artículos prohibidos.</w:t>
      </w:r>
    </w:p>
    <w:p>
      <w:r>
        <w:br w:type="page"/>
      </w:r>
    </w:p>
    <w:p>
      <w:pPr>
        <w:pStyle w:val="Heading1"/>
        <w:shd w:fill="1A2F4B" w:val="clear"/>
        <w:spacing w:after="200" w:before="360"/>
        <w:ind w:left="200" w:right="200"/>
      </w:pPr>
      <w:r>
        <w:rPr>
          <w:rFonts w:ascii="Arial" w:cs="Arial" w:eastAsia="Arial" w:hAnsi="Arial"/>
          <w:b/>
          <w:bCs/>
          <w:color w:val="FFFFFF"/>
          <w:sz w:val="28"/>
          <w:szCs w:val="28"/>
        </w:rPr>
        <w:t xml:space="preserve">8. HOJA DE RUTA LEGAL — PRÓXIMOS 90 DÍAS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800"/>
        <w:gridCol w:w="2360"/>
      </w:tblGrid>
      <w:tr>
        <w:trPr>
          <w:tblHeader/>
        </w:trPr>
        <w:tc>
          <w:tcPr>
            <w:tcW w:type="dxa" w:w="1000"/>
            <w:tcBorders>
              <w:top w:val="single" w:color="2E5F8A" w:sz="1"/>
              <w:left w:val="single" w:color="2E5F8A" w:sz="1"/>
              <w:bottom w:val="single" w:color="2E5F8A" w:sz="1"/>
              <w:right w:val="single" w:color="2E5F8A"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Semana</w:t>
            </w:r>
          </w:p>
        </w:tc>
        <w:tc>
          <w:tcPr>
            <w:tcW w:type="dxa" w:w="3800"/>
            <w:tcBorders>
              <w:top w:val="single" w:color="2E5F8A" w:sz="1"/>
              <w:left w:val="single" w:color="2E5F8A" w:sz="1"/>
              <w:bottom w:val="single" w:color="2E5F8A" w:sz="1"/>
              <w:right w:val="single" w:color="2E5F8A"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Acción</w:t>
            </w:r>
          </w:p>
        </w:tc>
        <w:tc>
          <w:tcPr>
            <w:tcW w:type="dxa" w:w="1800"/>
            <w:tcBorders>
              <w:top w:val="single" w:color="2E5F8A" w:sz="1"/>
              <w:left w:val="single" w:color="2E5F8A" w:sz="1"/>
              <w:bottom w:val="single" w:color="2E5F8A" w:sz="1"/>
              <w:right w:val="single" w:color="2E5F8A"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Responsable</w:t>
            </w:r>
          </w:p>
        </w:tc>
        <w:tc>
          <w:tcPr>
            <w:tcW w:type="dxa" w:w="2360"/>
            <w:tcBorders>
              <w:top w:val="single" w:color="2E5F8A" w:sz="1"/>
              <w:left w:val="single" w:color="2E5F8A" w:sz="1"/>
              <w:bottom w:val="single" w:color="2E5F8A" w:sz="1"/>
              <w:right w:val="single" w:color="2E5F8A" w:sz="1"/>
            </w:tcBorders>
            <w:shd w:fill="1A2F4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Entregable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1–2</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Reescribir Términos de Pago (Doc. 33) adaptados a Ecuador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Legal externo + Dirección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T&amp;C Pagos v1.0</w:t>
            </w:r>
          </w:p>
        </w:tc>
      </w:tr>
      <w:tr>
        <w:tc>
          <w:tcPr>
            <w:tcW w:type="dxa" w:w="1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1–2</w:t>
            </w:r>
          </w:p>
        </w:tc>
        <w:tc>
          <w:tcPr>
            <w:tcW w:type="dxa" w:w="3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Completar campos en blanco Contratos 02 y 03</w:t>
            </w:r>
          </w:p>
        </w:tc>
        <w:tc>
          <w:tcPr>
            <w:tcW w:type="dxa" w:w="1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Legal interno</w:t>
            </w:r>
          </w:p>
        </w:tc>
        <w:tc>
          <w:tcPr>
            <w:tcW w:type="dxa" w:w="23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Contratos firmados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3–4</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Finalizar Manual de Operaciones y registro CIIU</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Dirección + Contador</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Expediente CIIU completo</w:t>
            </w:r>
          </w:p>
        </w:tc>
      </w:tr>
      <w:tr>
        <w:tc>
          <w:tcPr>
            <w:tcW w:type="dxa" w:w="1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3–4</w:t>
            </w:r>
          </w:p>
        </w:tc>
        <w:tc>
          <w:tcPr>
            <w:tcW w:type="dxa" w:w="3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Desarrollar Going Legal para due diligence</w:t>
            </w:r>
          </w:p>
        </w:tc>
        <w:tc>
          <w:tcPr>
            <w:tcW w:type="dxa" w:w="1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CEO + Legal</w:t>
            </w:r>
          </w:p>
        </w:tc>
        <w:tc>
          <w:tcPr>
            <w:tcW w:type="dxa" w:w="23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Teaser legal 10pp</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5–6</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Complementar Estándares de Seguridad Vehicular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Operaciones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Checklist de verificación</w:t>
            </w:r>
          </w:p>
        </w:tc>
      </w:tr>
      <w:tr>
        <w:tc>
          <w:tcPr>
            <w:tcW w:type="dxa" w:w="1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7–8</w:t>
            </w:r>
          </w:p>
        </w:tc>
        <w:tc>
          <w:tcPr>
            <w:tcW w:type="dxa" w:w="3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Redactar Política de Reembolsos y Compensaciones</w:t>
            </w:r>
          </w:p>
        </w:tc>
        <w:tc>
          <w:tcPr>
            <w:tcW w:type="dxa" w:w="1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Producto + Legal</w:t>
            </w:r>
          </w:p>
        </w:tc>
        <w:tc>
          <w:tcPr>
            <w:tcW w:type="dxa" w:w="23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Política v1.0</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9–10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Crear SLA Going Empresas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Comercial + Legal</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Contrato tipo empresas</w:t>
            </w:r>
          </w:p>
        </w:tc>
      </w:tr>
      <w:tr>
        <w:tc>
          <w:tcPr>
            <w:tcW w:type="dxa" w:w="1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11–12</w:t>
            </w:r>
          </w:p>
        </w:tc>
        <w:tc>
          <w:tcPr>
            <w:tcW w:type="dxa" w:w="3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Fusionar Avisos de Privacidad 12 y 13</w:t>
            </w:r>
          </w:p>
        </w:tc>
        <w:tc>
          <w:tcPr>
            <w:tcW w:type="dxa" w:w="18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Legal</w:t>
            </w:r>
          </w:p>
        </w:tc>
        <w:tc>
          <w:tcPr>
            <w:tcW w:type="dxa" w:w="23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center"/>
          </w:tcPr>
          <w:p>
            <w:r>
              <w:rPr>
                <w:rFonts w:ascii="Arial" w:cs="Arial" w:eastAsia="Arial" w:hAnsi="Arial"/>
                <w:color w:val="222222"/>
                <w:sz w:val="18"/>
                <w:szCs w:val="18"/>
              </w:rPr>
              <w:t xml:space="preserve">Política única LOPDP</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11–12</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Consolidar documentos de Envíos 21–23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Legal + Producto</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color w:val="222222"/>
                <w:sz w:val="18"/>
                <w:szCs w:val="18"/>
              </w:rPr>
              <w:t xml:space="preserve">T&amp;C Envíos unificado</w:t>
            </w:r>
          </w:p>
        </w:tc>
      </w:tr>
    </w:tbl>
    <w:p>
      <w:pPr>
        <w:spacing w:after="60" w:before="60"/>
      </w:pPr>
      <w:r>
        <w:t xml:space="preserve"/>
      </w:r>
    </w:p>
    <w:p>
      <w:pPr>
        <w:spacing w:after="60" w:before="60"/>
      </w:pPr>
      <w:r>
        <w:t xml:space="preserve"/>
      </w:r>
    </w:p>
    <w:p>
      <w:pPr>
        <w:pBdr>
          <w:top w:val="single" w:color="CCCCCC" w:sz="4" w:space="4"/>
        </w:pBdr>
        <w:spacing w:after="0" w:before="240"/>
        <w:jc w:val="center"/>
      </w:pPr>
      <w:r>
        <w:rPr>
          <w:rFonts w:ascii="Arial" w:cs="Arial" w:eastAsia="Arial" w:hAnsi="Arial"/>
          <w:i/>
          <w:iCs/>
          <w:color w:val="888888"/>
          <w:sz w:val="16"/>
          <w:szCs w:val="16"/>
        </w:rPr>
        <w:t xml:space="preserve">Este documento es de uso interno y confidencial de Thorn Cía. Ltda. / Going App Ecuador. Prohibida su reproducción o distribución sin autorización expresa de la Dirección General.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888888"/>
        <w:sz w:val="16"/>
        <w:szCs w:val="16"/>
      </w:rPr>
      <w:t xml:space="preserve">Thorn Cía. Ltda.  ·  Going App Ecuador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rFonts w:ascii="Arial" w:cs="Arial" w:eastAsia="Arial" w:hAnsi="Arial"/>
        <w:color w:val="888888"/>
        <w:sz w:val="16"/>
        <w:szCs w:val="16"/>
      </w:rPr>
      <w:t xml:space="preserve">GOING — Marco Legal Integral</w:t>
    </w:r>
    <w:r>
      <w:rPr>
        <w:rFonts w:ascii="Arial" w:cs="Arial" w:eastAsia="Arial" w:hAnsi="Arial"/>
        <w:sz w:val="16"/>
        <w:szCs w:val="16"/>
      </w:rPr>
      <w:t xml:space="preserve">	</w:t>
    </w:r>
    <w:r>
      <w:rPr>
        <w:rFonts w:ascii="Arial" w:cs="Arial" w:eastAsia="Arial" w:hAnsi="Arial"/>
        <w:b/>
        <w:bCs/>
        <w:color w:val="C0392B"/>
        <w:sz w:val="16"/>
        <w:szCs w:val="16"/>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FFFFFF"/>
      <w:sz w:val="24"/>
      <w:szCs w:val="24"/>
    </w:rPr>
  </w:style>
  <w:style w:type="paragraph" w:styleId="Heading3">
    <w:name w:val="Heading 3"/>
    <w:basedOn w:val="Normal"/>
    <w:next w:val="Normal"/>
    <w:qFormat/>
    <w:pPr>
      <w:spacing w:after="120" w:before="240"/>
      <w:outlineLvl w:val="2"/>
    </w:pPr>
    <w:rPr>
      <w:rFonts w:ascii="Arial" w:cs="Arial" w:eastAsia="Arial" w:hAnsi="Arial"/>
      <w:b/>
      <w:bCs/>
      <w:color w:val="1A2F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2026-04-21T23:58:15.574Z</dcterms:created>
  <dcterms:modified xsi:type="dcterms:W3CDTF">2026-04-21T23:58:15.575Z</dcterms:modified>
</cp:coreProperties>
</file>

<file path=docProps/custom.xml><?xml version="1.0" encoding="utf-8"?>
<Properties xmlns="http://schemas.openxmlformats.org/officeDocument/2006/custom-properties" xmlns:vt="http://schemas.openxmlformats.org/officeDocument/2006/docPropsVTypes"/>
</file>