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F04E40"/>
          <w:sz w:val="48"/>
          <w:szCs w:val="48"/>
        </w:rPr>
        <w:t xml:space="preserve">GOING ECUADOR</w:t>
      </w:r>
    </w:p>
    <w:p>
      <w:pPr>
        <w:spacing w:after="60" w:before="0"/>
        <w:jc w:val="center"/>
      </w:pPr>
      <w:r>
        <w:rPr>
          <w:rFonts w:ascii="Arial" w:cs="Arial" w:eastAsia="Arial" w:hAnsi="Arial"/>
          <w:color w:val="131B2E"/>
          <w:sz w:val="24"/>
          <w:szCs w:val="24"/>
        </w:rPr>
        <w:t xml:space="preserve">Aplicación Móvil de Transporte Compartido</w:t>
      </w:r>
    </w:p>
    <w:p>
      <w:pPr>
        <w:spacing w:after="80" w:before="0"/>
        <w:jc w:val="center"/>
      </w:pPr>
      <w:r>
        <w:rPr>
          <w:rFonts w:ascii="Arial" w:cs="Arial" w:eastAsia="Arial" w:hAnsi="Arial"/>
          <w:b/>
          <w:bCs/>
          <w:color w:val="131B2E"/>
          <w:sz w:val="40"/>
          <w:szCs w:val="40"/>
        </w:rPr>
        <w:t xml:space="preserve">POLÍTICA DE PRIVACIDAD</w:t>
      </w:r>
    </w:p>
    <w:p>
      <w:pPr>
        <w:spacing w:after="40" w:before="0"/>
        <w:jc w:val="center"/>
      </w:pPr>
      <w:r>
        <w:rPr>
          <w:rFonts w:ascii="Arial" w:cs="Arial" w:eastAsia="Arial" w:hAnsi="Arial"/>
          <w:color w:val="6B7280"/>
          <w:sz w:val="26"/>
          <w:szCs w:val="26"/>
        </w:rPr>
        <w:t xml:space="preserve">Y TRATAMIENTO DE DATOS PERSONALES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pPr>
              <w:jc w:val="center"/>
            </w:pPr>
            <w:r>
              <w:rPr>
                <w:rFonts w:ascii="Arial" w:cs="Arial" w:eastAsia="Arial" w:hAnsi="Arial"/>
                <w:color w:val="131B2E"/>
                <w:sz w:val="20"/>
                <w:szCs w:val="20"/>
              </w:rPr>
              <w:t xml:space="preserve">Versión 1.0  •  Vigente desde: 13 de abril de 2026</w:t>
            </w:r>
          </w:p>
          <w:p>
            <w:pPr>
              <w:jc w:val="center"/>
            </w:pPr>
            <w:r>
              <w:rPr>
                <w:rFonts w:ascii="Arial" w:cs="Arial" w:eastAsia="Arial" w:hAnsi="Arial"/>
                <w:i/>
                <w:iCs/>
                <w:color w:val="6B7280"/>
                <w:sz w:val="20"/>
                <w:szCs w:val="20"/>
              </w:rPr>
              <w:t xml:space="preserve">Conforme a la Ley Orgánica de Protección de Datos Personales (LOPDP)</w:t>
            </w:r>
          </w:p>
        </w:tc>
      </w:tr>
    </w:tbl>
    <w:p>
      <w:pPr>
        <w:spacing w:after="0" w:before="6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1. Identidad del Responsable del 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Empresa</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Going Ecuador S.A.S.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RUC</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1792XXXXXX001</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Domicilio</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Av. Amazonas N23-45, Quito, Ecuador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Correo de privacidad</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privacidad@goingec.com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Sitio web</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https://goingec.com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Teléfono</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+593 2 XXX XXXX</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31B2E"/>
                <w:sz w:val="20"/>
                <w:szCs w:val="20"/>
              </w:rPr>
              <w:t xml:space="preserve">Representante Legal</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Ruben Meister</w:t>
            </w:r>
          </w:p>
        </w:tc>
      </w:tr>
    </w:tbl>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2. Objeto y Ámbito de Aplicación</w:t>
      </w:r>
    </w:p>
    <w:p>
      <w:pPr>
        <w:spacing w:after="80" w:before="80" w:line="320"/>
        <w:jc w:val="both"/>
      </w:pPr>
      <w:r>
        <w:rPr>
          <w:rFonts w:ascii="Arial" w:cs="Arial" w:eastAsia="Arial" w:hAnsi="Arial"/>
          <w:color w:val="1F2937"/>
          <w:sz w:val="22"/>
          <w:szCs w:val="22"/>
        </w:rPr>
        <w:t xml:space="preserve">La presente Política de Privacidad regula el tratamiento de los datos personales que Going Ecuador S.A.S. (en adelante "Going", "nosotros" o "la Empresa") recopila a través de la aplicación móvil Going — Pasajero (en adelante "la Aplicación"), así como a través de su sitio web y canales de atención al cliente.</w:t>
      </w:r>
    </w:p>
    <w:p>
      <w:pPr>
        <w:spacing w:after="80" w:before="80" w:line="320"/>
        <w:jc w:val="both"/>
      </w:pPr>
      <w:r>
        <w:rPr>
          <w:rFonts w:ascii="Arial" w:cs="Arial" w:eastAsia="Arial" w:hAnsi="Arial"/>
          <w:color w:val="1F2937"/>
          <w:sz w:val="22"/>
          <w:szCs w:val="22"/>
        </w:rPr>
        <w:t xml:space="preserve">Esta política se aplica a todos los usuarios registrados, visitantes y personas que interactúen con los servicios de Going Ecuador. El uso de la Aplicación implica la aceptación expresa de los términos establecidos en este documento.</w:t>
      </w:r>
    </w:p>
    <w:p>
      <w:pPr>
        <w:spacing w:after="80" w:before="80" w:line="320"/>
        <w:jc w:val="both"/>
      </w:pPr>
      <w:r>
        <w:rPr>
          <w:rFonts w:ascii="Arial" w:cs="Arial" w:eastAsia="Arial" w:hAnsi="Arial"/>
          <w:color w:val="1F2937"/>
          <w:sz w:val="22"/>
          <w:szCs w:val="22"/>
        </w:rPr>
        <w:t xml:space="preserve">Going Ecuador actúa en calidad de Responsable del Tratamiento de conformidad con la Ley Orgánica de Protección de Datos Personales del Ecuador (LOPDP), publicada en el Registro Oficial Suplemento 459 del 26 de mayo de 2021, y su Reglamento.</w:t>
      </w:r>
    </w:p>
    <w:p>
      <w:pPr>
        <w:pStyle w:val="Heading1"/>
        <w:pBdr>
          <w:bottom w:val="single" w:color="F04E40" w:sz="4" w:space="6"/>
        </w:pBdr>
        <w:spacing w:after="160" w:before="320"/>
      </w:pPr>
      <w:r>
        <w:rPr>
          <w:rFonts w:ascii="Arial" w:cs="Arial" w:eastAsia="Arial" w:hAnsi="Arial"/>
          <w:b/>
          <w:bCs/>
          <w:color w:val="131B2E"/>
          <w:sz w:val="28"/>
          <w:szCs w:val="28"/>
        </w:rPr>
        <w:t xml:space="preserve">3. Datos Personales que Recopilamos</w:t>
      </w:r>
    </w:p>
    <w:p>
      <w:pPr>
        <w:pStyle w:val="Heading2"/>
        <w:spacing w:after="120" w:before="240"/>
      </w:pPr>
      <w:r>
        <w:rPr>
          <w:rFonts w:ascii="Arial" w:cs="Arial" w:eastAsia="Arial" w:hAnsi="Arial"/>
          <w:b/>
          <w:bCs/>
          <w:color w:val="131B2E"/>
          <w:sz w:val="24"/>
          <w:szCs w:val="24"/>
        </w:rPr>
        <w:t xml:space="preserve">3.1 Datos proporcionados directamente por el usuario</w:t>
      </w:r>
    </w:p>
    <w:p>
      <w:pPr>
        <w:pStyle w:val="ListParagraph"/>
        <w:numPr>
          <w:ilvl w:val="0"/>
          <w:numId w:val="2"/>
        </w:numPr>
        <w:spacing w:after="60" w:before="60"/>
      </w:pPr>
      <w:r>
        <w:rPr>
          <w:rFonts w:ascii="Arial" w:cs="Arial" w:eastAsia="Arial" w:hAnsi="Arial"/>
          <w:color w:val="1F2937"/>
          <w:sz w:val="22"/>
          <w:szCs w:val="22"/>
        </w:rPr>
        <w:t xml:space="preserve">Nombre completo, fecha de nacimiento y número de cédula de identidad</w:t>
      </w:r>
    </w:p>
    <w:p>
      <w:pPr>
        <w:pStyle w:val="ListParagraph"/>
        <w:numPr>
          <w:ilvl w:val="0"/>
          <w:numId w:val="2"/>
        </w:numPr>
        <w:spacing w:after="60" w:before="60"/>
      </w:pPr>
      <w:r>
        <w:rPr>
          <w:rFonts w:ascii="Arial" w:cs="Arial" w:eastAsia="Arial" w:hAnsi="Arial"/>
          <w:color w:val="1F2937"/>
          <w:sz w:val="22"/>
          <w:szCs w:val="22"/>
        </w:rPr>
        <w:t xml:space="preserve">Dirección de correo electrónico y número de teléfono móvil</w:t>
      </w:r>
    </w:p>
    <w:p>
      <w:pPr>
        <w:pStyle w:val="ListParagraph"/>
        <w:numPr>
          <w:ilvl w:val="0"/>
          <w:numId w:val="2"/>
        </w:numPr>
        <w:spacing w:after="60" w:before="60"/>
      </w:pPr>
      <w:r>
        <w:rPr>
          <w:rFonts w:ascii="Arial" w:cs="Arial" w:eastAsia="Arial" w:hAnsi="Arial"/>
          <w:color w:val="1F2937"/>
          <w:sz w:val="22"/>
          <w:szCs w:val="22"/>
        </w:rPr>
        <w:t xml:space="preserve">Contraseña (almacenada con encriptación bcrypt, nunca en texto plano)</w:t>
      </w:r>
    </w:p>
    <w:p>
      <w:pPr>
        <w:pStyle w:val="ListParagraph"/>
        <w:numPr>
          <w:ilvl w:val="0"/>
          <w:numId w:val="2"/>
        </w:numPr>
        <w:spacing w:after="60" w:before="60"/>
      </w:pPr>
      <w:r>
        <w:rPr>
          <w:rFonts w:ascii="Arial" w:cs="Arial" w:eastAsia="Arial" w:hAnsi="Arial"/>
          <w:color w:val="1F2937"/>
          <w:sz w:val="22"/>
          <w:szCs w:val="22"/>
        </w:rPr>
        <w:t xml:space="preserve">Foto de perfil (opcional)</w:t>
      </w:r>
    </w:p>
    <w:p>
      <w:pPr>
        <w:pStyle w:val="ListParagraph"/>
        <w:numPr>
          <w:ilvl w:val="0"/>
          <w:numId w:val="2"/>
        </w:numPr>
        <w:spacing w:after="60" w:before="60"/>
      </w:pPr>
      <w:r>
        <w:rPr>
          <w:rFonts w:ascii="Arial" w:cs="Arial" w:eastAsia="Arial" w:hAnsi="Arial"/>
          <w:color w:val="1F2937"/>
          <w:sz w:val="22"/>
          <w:szCs w:val="22"/>
        </w:rPr>
        <w:t xml:space="preserve">Métodos de pago: número de tarjeta enmascarado, tipo y fecha de vencimiento</w:t>
      </w:r>
    </w:p>
    <w:p>
      <w:pPr>
        <w:pStyle w:val="ListParagraph"/>
        <w:numPr>
          <w:ilvl w:val="0"/>
          <w:numId w:val="2"/>
        </w:numPr>
        <w:spacing w:after="60" w:before="60"/>
      </w:pPr>
      <w:r>
        <w:rPr>
          <w:rFonts w:ascii="Arial" w:cs="Arial" w:eastAsia="Arial" w:hAnsi="Arial"/>
          <w:color w:val="1F2937"/>
          <w:sz w:val="22"/>
          <w:szCs w:val="22"/>
        </w:rPr>
        <w:t xml:space="preserve">Direcciones frecuentes: domicilio, trabajo y lugares favoritos</w:t>
      </w:r>
    </w:p>
    <w:p>
      <w:pPr>
        <w:pStyle w:val="ListParagraph"/>
        <w:numPr>
          <w:ilvl w:val="0"/>
          <w:numId w:val="2"/>
        </w:numPr>
        <w:spacing w:after="60" w:before="60"/>
      </w:pPr>
      <w:r>
        <w:rPr>
          <w:rFonts w:ascii="Arial" w:cs="Arial" w:eastAsia="Arial" w:hAnsi="Arial"/>
          <w:color w:val="1F2937"/>
          <w:sz w:val="22"/>
          <w:szCs w:val="22"/>
        </w:rPr>
        <w:t xml:space="preserve">Calificaciones y comentarios sobre conductores y servicios</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3.2 Datos recopilados automáticamente durante el uso</w:t>
      </w:r>
    </w:p>
    <w:p>
      <w:pPr>
        <w:pStyle w:val="ListParagraph"/>
        <w:numPr>
          <w:ilvl w:val="0"/>
          <w:numId w:val="2"/>
        </w:numPr>
        <w:spacing w:after="60" w:before="60"/>
      </w:pPr>
      <w:r>
        <w:rPr>
          <w:rFonts w:ascii="Arial" w:cs="Arial" w:eastAsia="Arial" w:hAnsi="Arial"/>
          <w:color w:val="1F2937"/>
          <w:sz w:val="22"/>
          <w:szCs w:val="22"/>
        </w:rPr>
        <w:t xml:space="preserve">Ubicación geográfica en tiempo real (GPS) durante los viajes activos</w:t>
      </w:r>
    </w:p>
    <w:p>
      <w:pPr>
        <w:pStyle w:val="ListParagraph"/>
        <w:numPr>
          <w:ilvl w:val="0"/>
          <w:numId w:val="2"/>
        </w:numPr>
        <w:spacing w:after="60" w:before="60"/>
      </w:pPr>
      <w:r>
        <w:rPr>
          <w:rFonts w:ascii="Arial" w:cs="Arial" w:eastAsia="Arial" w:hAnsi="Arial"/>
          <w:color w:val="1F2937"/>
          <w:sz w:val="22"/>
          <w:szCs w:val="22"/>
        </w:rPr>
        <w:t xml:space="preserve">Historial de viajes: origen, destino, ruta, duración, tarifa y calificación</w:t>
      </w:r>
    </w:p>
    <w:p>
      <w:pPr>
        <w:pStyle w:val="ListParagraph"/>
        <w:numPr>
          <w:ilvl w:val="0"/>
          <w:numId w:val="2"/>
        </w:numPr>
        <w:spacing w:after="60" w:before="60"/>
      </w:pPr>
      <w:r>
        <w:rPr>
          <w:rFonts w:ascii="Arial" w:cs="Arial" w:eastAsia="Arial" w:hAnsi="Arial"/>
          <w:color w:val="1F2937"/>
          <w:sz w:val="22"/>
          <w:szCs w:val="22"/>
        </w:rPr>
        <w:t xml:space="preserve">Datos del dispositivo: modelo, sistema operativo, versión de la app, identificador único</w:t>
      </w:r>
    </w:p>
    <w:p>
      <w:pPr>
        <w:pStyle w:val="ListParagraph"/>
        <w:numPr>
          <w:ilvl w:val="0"/>
          <w:numId w:val="2"/>
        </w:numPr>
        <w:spacing w:after="60" w:before="60"/>
      </w:pPr>
      <w:r>
        <w:rPr>
          <w:rFonts w:ascii="Arial" w:cs="Arial" w:eastAsia="Arial" w:hAnsi="Arial"/>
          <w:color w:val="1F2937"/>
          <w:sz w:val="22"/>
          <w:szCs w:val="22"/>
        </w:rPr>
        <w:t xml:space="preserve">Dirección IP y datos de red</w:t>
      </w:r>
    </w:p>
    <w:p>
      <w:pPr>
        <w:pStyle w:val="ListParagraph"/>
        <w:numPr>
          <w:ilvl w:val="0"/>
          <w:numId w:val="2"/>
        </w:numPr>
        <w:spacing w:after="60" w:before="60"/>
      </w:pPr>
      <w:r>
        <w:rPr>
          <w:rFonts w:ascii="Arial" w:cs="Arial" w:eastAsia="Arial" w:hAnsi="Arial"/>
          <w:color w:val="1F2937"/>
          <w:sz w:val="22"/>
          <w:szCs w:val="22"/>
        </w:rPr>
        <w:t xml:space="preserve">Datos de uso: pantallas visitadas, botones pulsados, tiempo de sesión</w:t>
      </w:r>
    </w:p>
    <w:p>
      <w:pPr>
        <w:pStyle w:val="ListParagraph"/>
        <w:numPr>
          <w:ilvl w:val="0"/>
          <w:numId w:val="2"/>
        </w:numPr>
        <w:spacing w:after="60" w:before="60"/>
      </w:pPr>
      <w:r>
        <w:rPr>
          <w:rFonts w:ascii="Arial" w:cs="Arial" w:eastAsia="Arial" w:hAnsi="Arial"/>
          <w:color w:val="1F2937"/>
          <w:sz w:val="22"/>
          <w:szCs w:val="22"/>
        </w:rPr>
        <w:t xml:space="preserve">Registros de llamadas y mensajes dentro de la aplicación con conductores</w:t>
      </w:r>
    </w:p>
    <w:p>
      <w:pPr>
        <w:pStyle w:val="ListParagraph"/>
        <w:numPr>
          <w:ilvl w:val="0"/>
          <w:numId w:val="2"/>
        </w:numPr>
        <w:spacing w:after="60" w:before="60"/>
      </w:pPr>
      <w:r>
        <w:rPr>
          <w:rFonts w:ascii="Arial" w:cs="Arial" w:eastAsia="Arial" w:hAnsi="Arial"/>
          <w:color w:val="1F2937"/>
          <w:sz w:val="22"/>
          <w:szCs w:val="22"/>
        </w:rPr>
        <w:t xml:space="preserve">Fotografías de puntos de recogida (cuando el usuario las comparte voluntariamente)</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3.3 Datos recibidos de terceros</w:t>
      </w:r>
    </w:p>
    <w:p>
      <w:pPr>
        <w:pStyle w:val="ListParagraph"/>
        <w:numPr>
          <w:ilvl w:val="0"/>
          <w:numId w:val="2"/>
        </w:numPr>
        <w:spacing w:after="60" w:before="60"/>
      </w:pPr>
      <w:r>
        <w:rPr>
          <w:rFonts w:ascii="Arial" w:cs="Arial" w:eastAsia="Arial" w:hAnsi="Arial"/>
          <w:color w:val="1F2937"/>
          <w:sz w:val="22"/>
          <w:szCs w:val="22"/>
        </w:rPr>
        <w:t xml:space="preserve">Información de proveedores de autenticación social (Google, Apple) cuando el usuario elige este método de registro</w:t>
      </w:r>
    </w:p>
    <w:p>
      <w:pPr>
        <w:pStyle w:val="ListParagraph"/>
        <w:numPr>
          <w:ilvl w:val="0"/>
          <w:numId w:val="2"/>
        </w:numPr>
        <w:spacing w:after="60" w:before="60"/>
      </w:pPr>
      <w:r>
        <w:rPr>
          <w:rFonts w:ascii="Arial" w:cs="Arial" w:eastAsia="Arial" w:hAnsi="Arial"/>
          <w:color w:val="1F2937"/>
          <w:sz w:val="22"/>
          <w:szCs w:val="22"/>
        </w:rPr>
        <w:t xml:space="preserve">Datos de pasarelas de pago (Datafast, De Una) necesarios para procesar transacciones</w:t>
      </w:r>
    </w:p>
    <w:p>
      <w:pPr>
        <w:pStyle w:val="ListParagraph"/>
        <w:numPr>
          <w:ilvl w:val="0"/>
          <w:numId w:val="2"/>
        </w:numPr>
        <w:spacing w:after="60" w:before="60"/>
      </w:pPr>
      <w:r>
        <w:rPr>
          <w:rFonts w:ascii="Arial" w:cs="Arial" w:eastAsia="Arial" w:hAnsi="Arial"/>
          <w:color w:val="1F2937"/>
          <w:sz w:val="22"/>
          <w:szCs w:val="22"/>
        </w:rPr>
        <w:t xml:space="preserve">Información de verificación de identidad de servicios de validación de cédula</w:t>
      </w:r>
    </w:p>
    <w:p>
      <w:pPr>
        <w:pStyle w:val="Heading1"/>
        <w:pBdr>
          <w:bottom w:val="single" w:color="F04E40" w:sz="4" w:space="6"/>
        </w:pBdr>
        <w:spacing w:after="160" w:before="320"/>
      </w:pPr>
      <w:r>
        <w:rPr>
          <w:rFonts w:ascii="Arial" w:cs="Arial" w:eastAsia="Arial" w:hAnsi="Arial"/>
          <w:b/>
          <w:bCs/>
          <w:color w:val="131B2E"/>
          <w:sz w:val="28"/>
          <w:szCs w:val="28"/>
        </w:rPr>
        <w:t xml:space="preserve">4. Finalidades del Tratamiento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Finalidad</w:t>
            </w:r>
          </w:p>
        </w:tc>
        <w:tc>
          <w:tcPr>
            <w:tcW w:type="dxa" w:w="376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Datos utilizados</w:t>
            </w:r>
          </w:p>
        </w:tc>
        <w:tc>
          <w:tcPr>
            <w:tcW w:type="dxa" w:w="240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Base legal</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Gestión de cuenta y autenticación</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Nombre, correo, teléfono, contraseña</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Ejecución del contrato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Prestación del servicio de transporte</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Ubicación GPS, historial, tarifa</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Ejecución del contrato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Procesamiento de pagos</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 tarjeta, transacciones</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Ejecución del contrato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Seguridad y prevención de fraude</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del dispositivo, IP, comportamiento</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Interés legítimo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Comunicaciones del servicio (SMS, push)</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Teléfono, token de notificación</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Consentimiento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Análisis y mejora de la plataforma</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 uso, estadísticas anónimas</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Interés legítimo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Soporte y atención al cliente</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Historial de viajes, comunicaciones</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Ejecución del contrato</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Cumplimiento de obligaciones legales</w:t>
            </w:r>
          </w:p>
        </w:tc>
        <w:tc>
          <w:tcPr>
            <w:tcW w:type="dxa" w:w="3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Todos los datos necesarios</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131B2E"/>
                <w:sz w:val="20"/>
                <w:szCs w:val="20"/>
              </w:rPr>
              <w:t xml:space="preserve">Obligación legal</w:t>
            </w:r>
          </w:p>
        </w:tc>
      </w:tr>
    </w:tbl>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5. Compartición de Datos con Terceros</w:t>
      </w:r>
    </w:p>
    <w:p>
      <w:pPr>
        <w:spacing w:after="80" w:before="80" w:line="320"/>
        <w:jc w:val="both"/>
      </w:pPr>
      <w:r>
        <w:rPr>
          <w:rFonts w:ascii="Arial" w:cs="Arial" w:eastAsia="Arial" w:hAnsi="Arial"/>
          <w:color w:val="1F2937"/>
          <w:sz w:val="22"/>
          <w:szCs w:val="22"/>
        </w:rPr>
        <w:t xml:space="preserve">Going Ecuador no vende ni cede comercialmente los datos personales de sus usuarios a terceros. Solo compartimos datos en los siguientes casos, que son estrictamente necesarios para la prestación del servicio:</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5.1 Proveedores de servicios (Encargados del Tratamiento)</w:t>
      </w:r>
    </w:p>
    <w:p>
      <w:pPr>
        <w:pStyle w:val="ListParagraph"/>
        <w:numPr>
          <w:ilvl w:val="0"/>
          <w:numId w:val="2"/>
        </w:numPr>
        <w:spacing w:after="60" w:before="60"/>
      </w:pPr>
      <w:r>
        <w:rPr>
          <w:rFonts w:ascii="Arial" w:cs="Arial" w:eastAsia="Arial" w:hAnsi="Arial"/>
          <w:color w:val="1F2937"/>
          <w:sz w:val="22"/>
          <w:szCs w:val="22"/>
        </w:rPr>
        <w:t xml:space="preserve">Mapbox Inc.: servicio de mapas y geolocalización</w:t>
      </w:r>
    </w:p>
    <w:p>
      <w:pPr>
        <w:pStyle w:val="ListParagraph"/>
        <w:numPr>
          <w:ilvl w:val="0"/>
          <w:numId w:val="2"/>
        </w:numPr>
        <w:spacing w:after="60" w:before="60"/>
      </w:pPr>
      <w:r>
        <w:rPr>
          <w:rFonts w:ascii="Arial" w:cs="Arial" w:eastAsia="Arial" w:hAnsi="Arial"/>
          <w:color w:val="1F2937"/>
          <w:sz w:val="22"/>
          <w:szCs w:val="22"/>
        </w:rPr>
        <w:t xml:space="preserve">Agora.io: llamadas de voz y video en la aplicación</w:t>
      </w:r>
    </w:p>
    <w:p>
      <w:pPr>
        <w:pStyle w:val="ListParagraph"/>
        <w:numPr>
          <w:ilvl w:val="0"/>
          <w:numId w:val="2"/>
        </w:numPr>
        <w:spacing w:after="60" w:before="60"/>
      </w:pPr>
      <w:r>
        <w:rPr>
          <w:rFonts w:ascii="Arial" w:cs="Arial" w:eastAsia="Arial" w:hAnsi="Arial"/>
          <w:color w:val="1F2937"/>
          <w:sz w:val="22"/>
          <w:szCs w:val="22"/>
        </w:rPr>
        <w:t xml:space="preserve">Google Firebase: notificaciones push, análisis y crashlytics</w:t>
      </w:r>
    </w:p>
    <w:p>
      <w:pPr>
        <w:pStyle w:val="ListParagraph"/>
        <w:numPr>
          <w:ilvl w:val="0"/>
          <w:numId w:val="2"/>
        </w:numPr>
        <w:spacing w:after="60" w:before="60"/>
      </w:pPr>
      <w:r>
        <w:rPr>
          <w:rFonts w:ascii="Arial" w:cs="Arial" w:eastAsia="Arial" w:hAnsi="Arial"/>
          <w:color w:val="1F2937"/>
          <w:sz w:val="22"/>
          <w:szCs w:val="22"/>
        </w:rPr>
        <w:t xml:space="preserve">Datafast / De Una: procesamiento de pagos</w:t>
      </w:r>
    </w:p>
    <w:p>
      <w:pPr>
        <w:pStyle w:val="ListParagraph"/>
        <w:numPr>
          <w:ilvl w:val="0"/>
          <w:numId w:val="2"/>
        </w:numPr>
        <w:spacing w:after="60" w:before="60"/>
      </w:pPr>
      <w:r>
        <w:rPr>
          <w:rFonts w:ascii="Arial" w:cs="Arial" w:eastAsia="Arial" w:hAnsi="Arial"/>
          <w:color w:val="1F2937"/>
          <w:sz w:val="22"/>
          <w:szCs w:val="22"/>
        </w:rPr>
        <w:t xml:space="preserve">Amazon Web Services (AWS): infraestructura de servidores</w:t>
      </w:r>
    </w:p>
    <w:p>
      <w:pPr>
        <w:pStyle w:val="ListParagraph"/>
        <w:numPr>
          <w:ilvl w:val="0"/>
          <w:numId w:val="2"/>
        </w:numPr>
        <w:spacing w:after="60" w:before="60"/>
      </w:pPr>
      <w:r>
        <w:rPr>
          <w:rFonts w:ascii="Arial" w:cs="Arial" w:eastAsia="Arial" w:hAnsi="Arial"/>
          <w:color w:val="1F2937"/>
          <w:sz w:val="22"/>
          <w:szCs w:val="22"/>
        </w:rPr>
        <w:t xml:space="preserve">Socket.io: comunicación en tiempo real</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5.2 Conductores asociados</w:t>
      </w:r>
    </w:p>
    <w:p>
      <w:pPr>
        <w:spacing w:after="80" w:before="80" w:line="320"/>
        <w:jc w:val="both"/>
      </w:pPr>
      <w:r>
        <w:rPr>
          <w:rFonts w:ascii="Arial" w:cs="Arial" w:eastAsia="Arial" w:hAnsi="Arial"/>
          <w:color w:val="1F2937"/>
          <w:sz w:val="22"/>
          <w:szCs w:val="22"/>
        </w:rPr>
        <w:t xml:space="preserve">El nombre, foto de perfil y calificación del pasajero pueden ser visibles para el conductor durante la prestación del servicio de transporte. No se comparte el número de teléfono real; la comunicación se realiza a través de la plataforma.</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5.3 Autoridades y cumplimiento legal</w:t>
      </w:r>
    </w:p>
    <w:p>
      <w:pPr>
        <w:spacing w:after="80" w:before="80" w:line="320"/>
        <w:jc w:val="both"/>
      </w:pPr>
      <w:r>
        <w:rPr>
          <w:rFonts w:ascii="Arial" w:cs="Arial" w:eastAsia="Arial" w:hAnsi="Arial"/>
          <w:color w:val="1F2937"/>
          <w:sz w:val="22"/>
          <w:szCs w:val="22"/>
        </w:rPr>
        <w:t xml:space="preserve">Going Ecuador podrá divulgar datos personales cuando sea requerido por ley, orden judicial o autoridad competente del Ecuador, incluyendo la Agencia de Regulación y Control de las Telecomunicaciones (ARCOTEL), el Servicio de Rentas Internas (SRI), o cualquier otra entidad con competencia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r>
              <w:rPr>
                <w:rFonts w:ascii="Arial" w:cs="Arial" w:eastAsia="Arial" w:hAnsi="Arial"/>
                <w:b/>
                <w:bCs/>
                <w:color w:val="F04E40"/>
                <w:sz w:val="20"/>
                <w:szCs w:val="20"/>
              </w:rPr>
              <w:t xml:space="preserve">Importante: </w:t>
            </w:r>
            <w:r>
              <w:rPr>
                <w:rFonts w:ascii="Arial" w:cs="Arial" w:eastAsia="Arial" w:hAnsi="Arial"/>
                <w:color w:val="1F2937"/>
                <w:sz w:val="20"/>
                <w:szCs w:val="20"/>
              </w:rPr>
              <w:t xml:space="preserve">Todos los proveedores de servicios están vinculados contractualmente a mantener la confidencialidad y seguridad de los datos, y no pueden utilizarlos para fines distintos a los encomendados.</w:t>
            </w:r>
          </w:p>
        </w:tc>
      </w:tr>
    </w:tbl>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6. Derechos de los Titulares de Datos (Art. 6-22 LOPDP)</w:t>
      </w:r>
    </w:p>
    <w:p>
      <w:pPr>
        <w:spacing w:after="80" w:before="80" w:line="320"/>
        <w:jc w:val="both"/>
      </w:pPr>
      <w:r>
        <w:rPr>
          <w:rFonts w:ascii="Arial" w:cs="Arial" w:eastAsia="Arial" w:hAnsi="Arial"/>
          <w:color w:val="1F2937"/>
          <w:sz w:val="22"/>
          <w:szCs w:val="22"/>
        </w:rPr>
        <w:t xml:space="preserve">De conformidad con la Ley Orgánica de Protección de Datos Personales del Ecuador, usted tiene los siguientes derechos respecto a sus datos personales: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Acceso</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Conocer qué datos personales suyos tratamos, con qué finalidad y por cuánto tiempo.</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Rectificación</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Corregir datos inexactos o incompletos sobre su persona.</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Eliminación</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Solicitar la supresión de sus datos cuando ya no sean necesarios o cuando retire su consentimiento.</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Oposición</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Oponerse al tratamiento de sus datos en determinadas circunstancias.</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Portabilidad</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Recibir sus datos en formato estructurado, de uso común y lectura mecánica.</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Limitación</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Solicitar la suspensión del tratamiento en determinados supuestos.</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a no ser perfilado</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Oponerse a decisiones automatizadas que produzcan efectos jurídicos significativos.</w:t>
            </w:r>
          </w:p>
        </w:tc>
      </w:tr>
      <w:tr>
        <w:tc>
          <w:tcPr>
            <w:tcW w:type="dxa" w:w="2200"/>
            <w:tcBorders>
              <w:top w:val="single" w:color="E5E7EB" w:sz="1"/>
              <w:left w:val="single" w:color="E5E7EB" w:sz="1"/>
              <w:bottom w:val="single" w:color="E5E7EB" w:sz="1"/>
              <w:right w:val="single" w:color="E5E7EB" w:sz="1"/>
            </w:tcBorders>
            <w:shd w:fill="FFF5F4" w:val="clear"/>
            <w:tcMar>
              <w:top w:type="dxa" w:w="80"/>
              <w:left w:type="dxa" w:w="120"/>
              <w:bottom w:type="dxa" w:w="80"/>
              <w:right w:type="dxa" w:w="120"/>
            </w:tcMar>
          </w:tcPr>
          <w:p>
            <w:r>
              <w:rPr>
                <w:rFonts w:ascii="Arial" w:cs="Arial" w:eastAsia="Arial" w:hAnsi="Arial"/>
                <w:b/>
                <w:bCs/>
                <w:color w:val="F04E40"/>
                <w:sz w:val="20"/>
                <w:szCs w:val="20"/>
              </w:rPr>
              <w:t xml:space="preserve">Derecho de Consulta</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Consultar el registro de tratamiento de datos de la Autoridad de Protección de Datos.</w:t>
            </w:r>
          </w:p>
        </w:tc>
      </w:tr>
    </w:tbl>
    <w:p>
      <w:pPr>
        <w:spacing w:after="0" w:before="80"/>
      </w:pPr>
      <w:r>
        <w:t xml:space="preserve"/>
      </w:r>
    </w:p>
    <w:p>
      <w:pPr>
        <w:spacing w:after="80" w:before="80" w:line="320"/>
        <w:jc w:val="both"/>
      </w:pPr>
      <w:r>
        <w:rPr>
          <w:rFonts w:ascii="Arial" w:cs="Arial" w:eastAsia="Arial" w:hAnsi="Arial"/>
          <w:color w:val="1F2937"/>
          <w:sz w:val="22"/>
          <w:szCs w:val="22"/>
        </w:rPr>
        <w:t xml:space="preserve">Para ejercer cualquiera de estos derechos, envíe su solicitud a </w:t>
      </w:r>
      <w:r>
        <w:rPr>
          <w:rFonts w:ascii="Arial" w:cs="Arial" w:eastAsia="Arial" w:hAnsi="Arial"/>
          <w:b/>
          <w:bCs/>
          <w:color w:val="F04E40"/>
          <w:sz w:val="22"/>
          <w:szCs w:val="22"/>
        </w:rPr>
        <w:t xml:space="preserve">privacidad@goingec.com</w:t>
      </w:r>
      <w:r>
        <w:rPr>
          <w:rFonts w:ascii="Arial" w:cs="Arial" w:eastAsia="Arial" w:hAnsi="Arial"/>
          <w:color w:val="1F2937"/>
          <w:sz w:val="22"/>
          <w:szCs w:val="22"/>
        </w:rPr>
        <w:t xml:space="preserve"> indicando: nombre completo, cédula de identidad, derecho que desea ejercer y descripción clara de su solicitud. Going Ecuador responderá en un plazo máximo de </w:t>
      </w:r>
      <w:r>
        <w:rPr>
          <w:rFonts w:ascii="Arial" w:cs="Arial" w:eastAsia="Arial" w:hAnsi="Arial"/>
          <w:b/>
          <w:bCs/>
          <w:color w:val="1F2937"/>
          <w:sz w:val="22"/>
          <w:szCs w:val="22"/>
        </w:rPr>
        <w:t xml:space="preserve">15 días hábiles</w:t>
      </w:r>
      <w:r>
        <w:rPr>
          <w:rFonts w:ascii="Arial" w:cs="Arial" w:eastAsia="Arial" w:hAnsi="Arial"/>
          <w:color w:val="1F2937"/>
          <w:sz w:val="22"/>
          <w:szCs w:val="22"/>
        </w:rPr>
        <w:t xml:space="preserve"> conforme al Art. 24 LOPDP.</w:t>
      </w:r>
    </w:p>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7. Seguridad de los Datos</w:t>
      </w:r>
    </w:p>
    <w:p>
      <w:pPr>
        <w:spacing w:after="80" w:before="80" w:line="320"/>
        <w:jc w:val="both"/>
      </w:pPr>
      <w:r>
        <w:rPr>
          <w:rFonts w:ascii="Arial" w:cs="Arial" w:eastAsia="Arial" w:hAnsi="Arial"/>
          <w:color w:val="1F2937"/>
          <w:sz w:val="22"/>
          <w:szCs w:val="22"/>
        </w:rPr>
        <w:t xml:space="preserve">Going Ecuador implementa las siguientes medidas técnicas y organizativas para proteger sus datos personales:</w:t>
      </w:r>
    </w:p>
    <w:p>
      <w:pPr>
        <w:pStyle w:val="ListParagraph"/>
        <w:numPr>
          <w:ilvl w:val="0"/>
          <w:numId w:val="2"/>
        </w:numPr>
        <w:spacing w:after="60" w:before="60"/>
      </w:pPr>
      <w:r>
        <w:rPr>
          <w:rFonts w:ascii="Arial" w:cs="Arial" w:eastAsia="Arial" w:hAnsi="Arial"/>
          <w:color w:val="1F2937"/>
          <w:sz w:val="22"/>
          <w:szCs w:val="22"/>
        </w:rPr>
        <w:t xml:space="preserve">Transmisión cifrada con TLS 1.3 para todas las comunicaciones</w:t>
      </w:r>
    </w:p>
    <w:p>
      <w:pPr>
        <w:pStyle w:val="ListParagraph"/>
        <w:numPr>
          <w:ilvl w:val="0"/>
          <w:numId w:val="2"/>
        </w:numPr>
        <w:spacing w:after="60" w:before="60"/>
      </w:pPr>
      <w:r>
        <w:rPr>
          <w:rFonts w:ascii="Arial" w:cs="Arial" w:eastAsia="Arial" w:hAnsi="Arial"/>
          <w:color w:val="1F2937"/>
          <w:sz w:val="22"/>
          <w:szCs w:val="22"/>
        </w:rPr>
        <w:t xml:space="preserve">Contraseñas almacenadas con algoritmo bcrypt (factor de costo mínimo 12)</w:t>
      </w:r>
    </w:p>
    <w:p>
      <w:pPr>
        <w:pStyle w:val="ListParagraph"/>
        <w:numPr>
          <w:ilvl w:val="0"/>
          <w:numId w:val="2"/>
        </w:numPr>
        <w:spacing w:after="60" w:before="60"/>
      </w:pPr>
      <w:r>
        <w:rPr>
          <w:rFonts w:ascii="Arial" w:cs="Arial" w:eastAsia="Arial" w:hAnsi="Arial"/>
          <w:color w:val="1F2937"/>
          <w:sz w:val="22"/>
          <w:szCs w:val="22"/>
        </w:rPr>
        <w:t xml:space="preserve">Autenticación biométrica y de dos factores disponible para el acceso</w:t>
      </w:r>
    </w:p>
    <w:p>
      <w:pPr>
        <w:pStyle w:val="ListParagraph"/>
        <w:numPr>
          <w:ilvl w:val="0"/>
          <w:numId w:val="2"/>
        </w:numPr>
        <w:spacing w:after="60" w:before="60"/>
      </w:pPr>
      <w:r>
        <w:rPr>
          <w:rFonts w:ascii="Arial" w:cs="Arial" w:eastAsia="Arial" w:hAnsi="Arial"/>
          <w:color w:val="1F2937"/>
          <w:sz w:val="22"/>
          <w:szCs w:val="22"/>
        </w:rPr>
        <w:t xml:space="preserve">Bases de datos encriptadas en reposo con AES-256</w:t>
      </w:r>
    </w:p>
    <w:p>
      <w:pPr>
        <w:pStyle w:val="ListParagraph"/>
        <w:numPr>
          <w:ilvl w:val="0"/>
          <w:numId w:val="2"/>
        </w:numPr>
        <w:spacing w:after="60" w:before="60"/>
      </w:pPr>
      <w:r>
        <w:rPr>
          <w:rFonts w:ascii="Arial" w:cs="Arial" w:eastAsia="Arial" w:hAnsi="Arial"/>
          <w:color w:val="1F2937"/>
          <w:sz w:val="22"/>
          <w:szCs w:val="22"/>
        </w:rPr>
        <w:t xml:space="preserve">Acceso a datos restringido por roles y principio de mínimo privilegio</w:t>
      </w:r>
    </w:p>
    <w:p>
      <w:pPr>
        <w:pStyle w:val="ListParagraph"/>
        <w:numPr>
          <w:ilvl w:val="0"/>
          <w:numId w:val="2"/>
        </w:numPr>
        <w:spacing w:after="60" w:before="60"/>
      </w:pPr>
      <w:r>
        <w:rPr>
          <w:rFonts w:ascii="Arial" w:cs="Arial" w:eastAsia="Arial" w:hAnsi="Arial"/>
          <w:color w:val="1F2937"/>
          <w:sz w:val="22"/>
          <w:szCs w:val="22"/>
        </w:rPr>
        <w:t xml:space="preserve">Monitoreo continuo de seguridad y respuesta a incidentes</w:t>
      </w:r>
    </w:p>
    <w:p>
      <w:pPr>
        <w:pStyle w:val="ListParagraph"/>
        <w:numPr>
          <w:ilvl w:val="0"/>
          <w:numId w:val="2"/>
        </w:numPr>
        <w:spacing w:after="60" w:before="60"/>
      </w:pPr>
      <w:r>
        <w:rPr>
          <w:rFonts w:ascii="Arial" w:cs="Arial" w:eastAsia="Arial" w:hAnsi="Arial"/>
          <w:color w:val="1F2937"/>
          <w:sz w:val="22"/>
          <w:szCs w:val="22"/>
        </w:rPr>
        <w:t xml:space="preserve">Copias de seguridad automáticas con retención de 30 días</w:t>
      </w:r>
    </w:p>
    <w:p>
      <w:pPr>
        <w:pStyle w:val="ListParagraph"/>
        <w:numPr>
          <w:ilvl w:val="0"/>
          <w:numId w:val="2"/>
        </w:numPr>
        <w:spacing w:after="60" w:before="60"/>
      </w:pPr>
      <w:r>
        <w:rPr>
          <w:rFonts w:ascii="Arial" w:cs="Arial" w:eastAsia="Arial" w:hAnsi="Arial"/>
          <w:color w:val="1F2937"/>
          <w:sz w:val="22"/>
          <w:szCs w:val="22"/>
        </w:rPr>
        <w:t xml:space="preserve">Registros de auditoría para accesos a datos sensibles</w:t>
      </w:r>
    </w:p>
    <w:p>
      <w:pPr>
        <w:spacing w:after="0" w:before="60"/>
      </w:pPr>
      <w:r>
        <w:t xml:space="preserve"/>
      </w:r>
    </w:p>
    <w:p>
      <w:pPr>
        <w:spacing w:after="80" w:before="80" w:line="320"/>
        <w:jc w:val="both"/>
      </w:pPr>
      <w:r>
        <w:rPr>
          <w:rFonts w:ascii="Arial" w:cs="Arial" w:eastAsia="Arial" w:hAnsi="Arial"/>
          <w:color w:val="1F2937"/>
          <w:sz w:val="22"/>
          <w:szCs w:val="22"/>
        </w:rPr>
        <w:t xml:space="preserve">En caso de una brecha de seguridad que afecte sus datos personales, Going Ecuador notificará a los usuarios afectados y a la Autoridad de Protección de Datos dentro de las 72 horas siguientes a tener conocimiento de la misma, conforme al Art. 40 LOPDP.</w:t>
      </w:r>
    </w:p>
    <w:p>
      <w:pPr>
        <w:pStyle w:val="Heading1"/>
        <w:pBdr>
          <w:bottom w:val="single" w:color="F04E40" w:sz="4" w:space="6"/>
        </w:pBdr>
        <w:spacing w:after="160" w:before="320"/>
      </w:pPr>
      <w:r>
        <w:rPr>
          <w:rFonts w:ascii="Arial" w:cs="Arial" w:eastAsia="Arial" w:hAnsi="Arial"/>
          <w:b/>
          <w:bCs/>
          <w:color w:val="131B2E"/>
          <w:sz w:val="28"/>
          <w:szCs w:val="28"/>
        </w:rPr>
        <w:t xml:space="preserve">8. Plazos de Conservación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Categoría de datos</w:t>
            </w:r>
          </w:p>
        </w:tc>
        <w:tc>
          <w:tcPr>
            <w:tcW w:type="dxa" w:w="536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Plazo de conservación</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 cuenta activa</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Mientras la cuenta esté activa</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Historial de viajes</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5 años (obligación tributaria SRI)</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 transacciones</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7 años (Código de Comercio Ecuador)</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Grabaciones de llamadas en app</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30 días</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Registros de ubicación</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90 días desde el viaje</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 cuenta eliminada</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3 años (posibles reclamaciones legales)</w:t>
            </w:r>
          </w:p>
        </w:tc>
      </w:tr>
      <w:tr>
        <w:tc>
          <w:tcPr>
            <w:tcW w:type="dxa" w:w="4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F2937"/>
                <w:sz w:val="20"/>
                <w:szCs w:val="20"/>
              </w:rPr>
              <w:t xml:space="preserve">Datos de soporte y reclamos</w:t>
            </w:r>
          </w:p>
        </w:tc>
        <w:tc>
          <w:tcPr>
            <w:tcW w:type="dxa" w:w="5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5 años desde la resolución</w:t>
            </w:r>
          </w:p>
        </w:tc>
      </w:tr>
    </w:tbl>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9. Transferencias Internacionales de Datos</w:t>
      </w:r>
    </w:p>
    <w:p>
      <w:pPr>
        <w:spacing w:after="80" w:before="80" w:line="320"/>
        <w:jc w:val="both"/>
      </w:pPr>
      <w:r>
        <w:rPr>
          <w:rFonts w:ascii="Arial" w:cs="Arial" w:eastAsia="Arial" w:hAnsi="Arial"/>
          <w:color w:val="1F2937"/>
          <w:sz w:val="22"/>
          <w:szCs w:val="22"/>
        </w:rPr>
        <w:t xml:space="preserve">Algunos de nuestros proveedores de servicios operan fuera del Ecuador (EE.UU., UE). Going Ecuador garantiza que dichas transferencias se realizan con las salvaguardas adecuadas mediante:</w:t>
      </w:r>
    </w:p>
    <w:p>
      <w:pPr>
        <w:pStyle w:val="ListParagraph"/>
        <w:numPr>
          <w:ilvl w:val="0"/>
          <w:numId w:val="2"/>
        </w:numPr>
        <w:spacing w:after="60" w:before="60"/>
      </w:pPr>
      <w:r>
        <w:rPr>
          <w:rFonts w:ascii="Arial" w:cs="Arial" w:eastAsia="Arial" w:hAnsi="Arial"/>
          <w:color w:val="1F2937"/>
          <w:sz w:val="22"/>
          <w:szCs w:val="22"/>
        </w:rPr>
        <w:t xml:space="preserve">Cláusulas contractuales estándar aprobadas por autoridades de protección de datos</w:t>
      </w:r>
    </w:p>
    <w:p>
      <w:pPr>
        <w:pStyle w:val="ListParagraph"/>
        <w:numPr>
          <w:ilvl w:val="0"/>
          <w:numId w:val="2"/>
        </w:numPr>
        <w:spacing w:after="60" w:before="60"/>
      </w:pPr>
      <w:r>
        <w:rPr>
          <w:rFonts w:ascii="Arial" w:cs="Arial" w:eastAsia="Arial" w:hAnsi="Arial"/>
          <w:color w:val="1F2937"/>
          <w:sz w:val="22"/>
          <w:szCs w:val="22"/>
        </w:rPr>
        <w:t xml:space="preserve">Certificaciones de privacidad reconocidas (ISO 27001, SOC 2)</w:t>
      </w:r>
    </w:p>
    <w:p>
      <w:pPr>
        <w:pStyle w:val="ListParagraph"/>
        <w:numPr>
          <w:ilvl w:val="0"/>
          <w:numId w:val="2"/>
        </w:numPr>
        <w:spacing w:after="60" w:before="60"/>
      </w:pPr>
      <w:r>
        <w:rPr>
          <w:rFonts w:ascii="Arial" w:cs="Arial" w:eastAsia="Arial" w:hAnsi="Arial"/>
          <w:color w:val="1F2937"/>
          <w:sz w:val="22"/>
          <w:szCs w:val="22"/>
        </w:rPr>
        <w:t xml:space="preserve">Evaluaciones de impacto en protección de datos (EIPD) cuando corresponde</w:t>
      </w:r>
    </w:p>
    <w:p>
      <w:pPr>
        <w:pStyle w:val="Heading1"/>
        <w:pBdr>
          <w:bottom w:val="single" w:color="F04E40" w:sz="4" w:space="6"/>
        </w:pBdr>
        <w:spacing w:after="160" w:before="320"/>
      </w:pPr>
      <w:r>
        <w:rPr>
          <w:rFonts w:ascii="Arial" w:cs="Arial" w:eastAsia="Arial" w:hAnsi="Arial"/>
          <w:b/>
          <w:bCs/>
          <w:color w:val="131B2E"/>
          <w:sz w:val="28"/>
          <w:szCs w:val="28"/>
        </w:rPr>
        <w:t xml:space="preserve">10. Protección de Datos de Menores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r>
              <w:rPr>
                <w:rFonts w:ascii="Arial" w:cs="Arial" w:eastAsia="Arial" w:hAnsi="Arial"/>
                <w:b/>
                <w:bCs/>
                <w:color w:val="F04E40"/>
                <w:sz w:val="20"/>
                <w:szCs w:val="20"/>
              </w:rPr>
              <w:t xml:space="preserve">Going Ecuador no está destinado a menores de 18 años. </w:t>
            </w:r>
            <w:r>
              <w:rPr>
                <w:rFonts w:ascii="Arial" w:cs="Arial" w:eastAsia="Arial" w:hAnsi="Arial"/>
                <w:color w:val="1F2937"/>
                <w:sz w:val="20"/>
                <w:szCs w:val="20"/>
              </w:rPr>
              <w:t xml:space="preserve">El registro en la plataforma requiere confirmación de mayoría de edad. Si detectamos que un menor ha proporcionado datos personales sin consentimiento parental, procederemos a eliminarlos de inmediato. Los representantes legales pueden contactarnos en privacidad@goingec.com para solicitar la eliminación.</w:t>
            </w:r>
          </w:p>
        </w:tc>
      </w:tr>
    </w:tbl>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11. Cookies y Tecnologías de Seguimiento</w:t>
      </w:r>
    </w:p>
    <w:p>
      <w:pPr>
        <w:spacing w:after="80" w:before="80" w:line="320"/>
        <w:jc w:val="both"/>
      </w:pPr>
      <w:r>
        <w:rPr>
          <w:rFonts w:ascii="Arial" w:cs="Arial" w:eastAsia="Arial" w:hAnsi="Arial"/>
          <w:color w:val="1F2937"/>
          <w:sz w:val="22"/>
          <w:szCs w:val="22"/>
        </w:rPr>
        <w:t xml:space="preserve">La aplicación móvil utiliza las siguientes tecnologías de seguimiento:</w:t>
      </w:r>
    </w:p>
    <w:p>
      <w:pPr>
        <w:pStyle w:val="ListParagraph"/>
        <w:numPr>
          <w:ilvl w:val="0"/>
          <w:numId w:val="2"/>
        </w:numPr>
        <w:spacing w:after="60" w:before="60"/>
      </w:pPr>
      <w:r>
        <w:rPr>
          <w:rFonts w:ascii="Arial" w:cs="Arial" w:eastAsia="Arial" w:hAnsi="Arial"/>
          <w:color w:val="1F2937"/>
          <w:sz w:val="22"/>
          <w:szCs w:val="22"/>
        </w:rPr>
        <w:t xml:space="preserve">Firebase Analytics: análisis de uso de la aplicación (datos anonimizados)</w:t>
      </w:r>
    </w:p>
    <w:p>
      <w:pPr>
        <w:pStyle w:val="ListParagraph"/>
        <w:numPr>
          <w:ilvl w:val="0"/>
          <w:numId w:val="2"/>
        </w:numPr>
        <w:spacing w:after="60" w:before="60"/>
      </w:pPr>
      <w:r>
        <w:rPr>
          <w:rFonts w:ascii="Arial" w:cs="Arial" w:eastAsia="Arial" w:hAnsi="Arial"/>
          <w:color w:val="1F2937"/>
          <w:sz w:val="22"/>
          <w:szCs w:val="22"/>
        </w:rPr>
        <w:t xml:space="preserve">Firebase Crashlytics: reporte de errores técnicos para mejorar la estabilidad</w:t>
      </w:r>
    </w:p>
    <w:p>
      <w:pPr>
        <w:pStyle w:val="ListParagraph"/>
        <w:numPr>
          <w:ilvl w:val="0"/>
          <w:numId w:val="2"/>
        </w:numPr>
        <w:spacing w:after="60" w:before="60"/>
      </w:pPr>
      <w:r>
        <w:rPr>
          <w:rFonts w:ascii="Arial" w:cs="Arial" w:eastAsia="Arial" w:hAnsi="Arial"/>
          <w:color w:val="1F2937"/>
          <w:sz w:val="22"/>
          <w:szCs w:val="22"/>
        </w:rPr>
        <w:t xml:space="preserve">Tokens de notificación push: para enviar alertas del servicio</w:t>
      </w:r>
    </w:p>
    <w:p>
      <w:pPr>
        <w:spacing w:after="80" w:before="80" w:line="320"/>
        <w:jc w:val="both"/>
      </w:pPr>
      <w:r>
        <w:rPr>
          <w:rFonts w:ascii="Arial" w:cs="Arial" w:eastAsia="Arial" w:hAnsi="Arial"/>
          <w:color w:val="1F2937"/>
          <w:sz w:val="22"/>
          <w:szCs w:val="22"/>
        </w:rPr>
        <w:t xml:space="preserve">Puede desactivar las notificaciones push desde la configuración de su dispositivo móvil. Las funcionalidades de análisis pueden desactivarse desde Configuración &gt; Notificaciones dentro de la aplicación.</w:t>
      </w:r>
    </w:p>
    <w:p>
      <w:pPr>
        <w:pStyle w:val="Heading1"/>
        <w:pBdr>
          <w:bottom w:val="single" w:color="F04E40" w:sz="4" w:space="6"/>
        </w:pBdr>
        <w:spacing w:after="160" w:before="320"/>
      </w:pPr>
      <w:r>
        <w:rPr>
          <w:rFonts w:ascii="Arial" w:cs="Arial" w:eastAsia="Arial" w:hAnsi="Arial"/>
          <w:b/>
          <w:bCs/>
          <w:color w:val="131B2E"/>
          <w:sz w:val="28"/>
          <w:szCs w:val="28"/>
        </w:rPr>
        <w:t xml:space="preserve">12. Modificaciones a esta Política</w:t>
      </w:r>
    </w:p>
    <w:p>
      <w:pPr>
        <w:spacing w:after="80" w:before="80" w:line="320"/>
        <w:jc w:val="both"/>
      </w:pPr>
      <w:r>
        <w:rPr>
          <w:rFonts w:ascii="Arial" w:cs="Arial" w:eastAsia="Arial" w:hAnsi="Arial"/>
          <w:color w:val="1F2937"/>
          <w:sz w:val="22"/>
          <w:szCs w:val="22"/>
        </w:rPr>
        <w:t xml:space="preserve">Going Ecuador se reserva el derecho de actualizar esta Política de Privacidad cuando sea necesario para reflejar cambios en nuestros servicios, la legislación vigente o las prácticas de la industria. Ante cambios materiales:</w:t>
      </w:r>
    </w:p>
    <w:p>
      <w:pPr>
        <w:pStyle w:val="ListParagraph"/>
        <w:numPr>
          <w:ilvl w:val="0"/>
          <w:numId w:val="2"/>
        </w:numPr>
        <w:spacing w:after="60" w:before="60"/>
      </w:pPr>
      <w:r>
        <w:rPr>
          <w:rFonts w:ascii="Arial" w:cs="Arial" w:eastAsia="Arial" w:hAnsi="Arial"/>
          <w:color w:val="1F2937"/>
          <w:sz w:val="22"/>
          <w:szCs w:val="22"/>
        </w:rPr>
        <w:t xml:space="preserve">Notificaremos a los usuarios mediante correo electrónico y notificación en la aplicación con al menos 15 días de anticipación</w:t>
      </w:r>
    </w:p>
    <w:p>
      <w:pPr>
        <w:pStyle w:val="ListParagraph"/>
        <w:numPr>
          <w:ilvl w:val="0"/>
          <w:numId w:val="2"/>
        </w:numPr>
        <w:spacing w:after="60" w:before="60"/>
      </w:pPr>
      <w:r>
        <w:rPr>
          <w:rFonts w:ascii="Arial" w:cs="Arial" w:eastAsia="Arial" w:hAnsi="Arial"/>
          <w:color w:val="1F2937"/>
          <w:sz w:val="22"/>
          <w:szCs w:val="22"/>
        </w:rPr>
        <w:t xml:space="preserve">La continuación del uso de la aplicación tras la fecha de entrada en vigor implica aceptación</w:t>
      </w:r>
    </w:p>
    <w:p>
      <w:pPr>
        <w:pStyle w:val="ListParagraph"/>
        <w:numPr>
          <w:ilvl w:val="0"/>
          <w:numId w:val="2"/>
        </w:numPr>
        <w:spacing w:after="60" w:before="60"/>
      </w:pPr>
      <w:r>
        <w:rPr>
          <w:rFonts w:ascii="Arial" w:cs="Arial" w:eastAsia="Arial" w:hAnsi="Arial"/>
          <w:color w:val="1F2937"/>
          <w:sz w:val="22"/>
          <w:szCs w:val="22"/>
        </w:rPr>
        <w:t xml:space="preserve">La versión actualizada siempre estará disponible en: https://goingec.com/privacidad</w:t>
      </w:r>
    </w:p>
    <w:p>
      <w:pPr>
        <w:pStyle w:val="Heading1"/>
        <w:pBdr>
          <w:bottom w:val="single" w:color="F04E40" w:sz="4" w:space="6"/>
        </w:pBdr>
        <w:spacing w:after="160" w:before="320"/>
      </w:pPr>
      <w:r>
        <w:rPr>
          <w:rFonts w:ascii="Arial" w:cs="Arial" w:eastAsia="Arial" w:hAnsi="Arial"/>
          <w:b/>
          <w:bCs/>
          <w:color w:val="131B2E"/>
          <w:sz w:val="28"/>
          <w:szCs w:val="28"/>
        </w:rPr>
        <w:t xml:space="preserve">13. Reclamaciones ante la Autoridad de Control</w:t>
      </w:r>
    </w:p>
    <w:p>
      <w:pPr>
        <w:spacing w:after="80" w:before="80" w:line="320"/>
        <w:jc w:val="both"/>
      </w:pPr>
      <w:r>
        <w:rPr>
          <w:rFonts w:ascii="Arial" w:cs="Arial" w:eastAsia="Arial" w:hAnsi="Arial"/>
          <w:color w:val="1F2937"/>
          <w:sz w:val="22"/>
          <w:szCs w:val="22"/>
        </w:rPr>
        <w:t xml:space="preserve">Sin perjuicio de ejercer sus derechos directamente ante Going Ecuador, usted tiene derecho a presentar una reclamación ante la Autoridad de Protección de Datos del Ecuador cuando considere que el tratamiento de sus datos personales infringe la LOPDP.</w:t>
      </w:r>
    </w:p>
    <w:p>
      <w:pPr>
        <w:spacing w:after="80" w:before="80" w:line="320"/>
        <w:jc w:val="both"/>
      </w:pPr>
      <w:r>
        <w:rPr>
          <w:rFonts w:ascii="Arial" w:cs="Arial" w:eastAsia="Arial" w:hAnsi="Arial"/>
          <w:b/>
          <w:bCs/>
          <w:color w:val="1F2937"/>
          <w:sz w:val="22"/>
          <w:szCs w:val="22"/>
        </w:rPr>
        <w:t xml:space="preserve">Autoridad de Protección de Datos — Ecuador</w:t>
      </w:r>
      <w:r>
        <w:rPr>
          <w:rFonts w:ascii="Arial" w:cs="Arial" w:eastAsia="Arial" w:hAnsi="Arial"/>
          <w:color w:val="1F2937"/>
          <w:sz w:val="22"/>
          <w:szCs w:val="22"/>
        </w:rPr>
        <w:t xml:space="preserve"> (en proceso de designación conforme a la Disposición Transitoria Segunda LOPDP)</w:t>
      </w:r>
    </w:p>
    <w:p>
      <w:pPr>
        <w:spacing w:after="80" w:before="80" w:line="320"/>
        <w:jc w:val="both"/>
      </w:pPr>
      <w:r>
        <w:rPr>
          <w:rFonts w:ascii="Arial" w:cs="Arial" w:eastAsia="Arial" w:hAnsi="Arial"/>
          <w:color w:val="1F2937"/>
          <w:sz w:val="22"/>
          <w:szCs w:val="22"/>
        </w:rPr>
        <w:t xml:space="preserve">Sitio web: </w:t>
      </w:r>
      <w:r>
        <w:rPr>
          <w:rFonts w:ascii="Arial" w:cs="Arial" w:eastAsia="Arial" w:hAnsi="Arial"/>
          <w:color w:val="F04E40"/>
          <w:sz w:val="22"/>
          <w:szCs w:val="22"/>
        </w:rPr>
        <w:t xml:space="preserve">https://www.gob.ec/apd</w:t>
      </w:r>
    </w:p>
    <w:p>
      <w:pPr>
        <w:spacing w:after="0" w:before="12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14. Contacto y Delegado de Protección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r>
              <w:rPr>
                <w:rFonts w:ascii="Arial" w:cs="Arial" w:eastAsia="Arial" w:hAnsi="Arial"/>
                <w:b/>
                <w:bCs/>
                <w:color w:val="131B2E"/>
                <w:sz w:val="22"/>
                <w:szCs w:val="22"/>
              </w:rPr>
              <w:t xml:space="preserve">Delegado de Protección de Datos (DPD)</w:t>
            </w:r>
          </w:p>
          <w:p>
            <w:pPr>
              <w:spacing w:after="0" w:before="40"/>
            </w:pPr>
            <w:r>
              <w:t xml:space="preserve"/>
            </w:r>
          </w:p>
          <w:p>
            <w:r>
              <w:rPr>
                <w:rFonts w:ascii="Arial" w:cs="Arial" w:eastAsia="Arial" w:hAnsi="Arial"/>
                <w:color w:val="1F2937"/>
                <w:sz w:val="22"/>
                <w:szCs w:val="22"/>
              </w:rPr>
              <w:t xml:space="preserve">Going Ecuador S.A.S.</w:t>
            </w:r>
          </w:p>
          <w:p>
            <w:r>
              <w:rPr>
                <w:rFonts w:ascii="Arial" w:cs="Arial" w:eastAsia="Arial" w:hAnsi="Arial"/>
                <w:color w:val="1F2937"/>
                <w:sz w:val="22"/>
                <w:szCs w:val="22"/>
              </w:rPr>
              <w:t xml:space="preserve">Atención: Delegado de Protección de Datos</w:t>
            </w:r>
          </w:p>
          <w:p>
            <w:r>
              <w:rPr>
                <w:rFonts w:ascii="Arial" w:cs="Arial" w:eastAsia="Arial" w:hAnsi="Arial"/>
                <w:color w:val="1F2937"/>
                <w:sz w:val="22"/>
                <w:szCs w:val="22"/>
              </w:rPr>
              <w:t xml:space="preserve">Av. Amazonas N23-45, Quito, Ecuador</w:t>
            </w:r>
          </w:p>
          <w:p>
            <w:r>
              <w:rPr>
                <w:rFonts w:ascii="Arial" w:cs="Arial" w:eastAsia="Arial" w:hAnsi="Arial"/>
                <w:b/>
                <w:bCs/>
                <w:color w:val="1F2937"/>
                <w:sz w:val="22"/>
                <w:szCs w:val="22"/>
              </w:rPr>
              <w:t xml:space="preserve">Email: </w:t>
            </w:r>
            <w:r>
              <w:rPr>
                <w:rFonts w:ascii="Arial" w:cs="Arial" w:eastAsia="Arial" w:hAnsi="Arial"/>
                <w:color w:val="F04E40"/>
                <w:sz w:val="22"/>
                <w:szCs w:val="22"/>
              </w:rPr>
              <w:t xml:space="preserve">privacidad@goingec.com</w:t>
            </w:r>
          </w:p>
          <w:p>
            <w:r>
              <w:rPr>
                <w:rFonts w:ascii="Arial" w:cs="Arial" w:eastAsia="Arial" w:hAnsi="Arial"/>
                <w:color w:val="1F2937"/>
                <w:sz w:val="22"/>
                <w:szCs w:val="22"/>
              </w:rPr>
              <w:t xml:space="preserve">Tel: +593 2 XXX XXXX</w:t>
            </w:r>
          </w:p>
          <w:p>
            <w:r>
              <w:rPr>
                <w:rFonts w:ascii="Arial" w:cs="Arial" w:eastAsia="Arial" w:hAnsi="Arial"/>
                <w:color w:val="1F2937"/>
                <w:sz w:val="22"/>
                <w:szCs w:val="22"/>
              </w:rPr>
              <w:t xml:space="preserve">Horario de atención: Lunes a viernes, 09:00 - 17:00 (GMT-5)</w:t>
            </w:r>
          </w:p>
        </w:tc>
      </w:tr>
    </w:tbl>
    <w:p>
      <w:pPr>
        <w:spacing w:after="0" w:before="80"/>
      </w:pPr>
      <w:r>
        <w:t xml:space="preserve"/>
      </w:r>
    </w:p>
    <w:p>
      <w:pPr>
        <w:spacing w:after="80" w:before="80" w:line="320"/>
        <w:jc w:val="center"/>
      </w:pPr>
      <w:r>
        <w:rPr>
          <w:rFonts w:ascii="Arial" w:cs="Arial" w:eastAsia="Arial" w:hAnsi="Arial"/>
          <w:i/>
          <w:iCs/>
          <w:color w:val="6B7280"/>
          <w:sz w:val="22"/>
          <w:szCs w:val="22"/>
        </w:rPr>
        <w:t xml:space="preserve">Fecha de entrada en vigor: 13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jc w:val="center"/>
    </w:pPr>
    <w:r>
      <w:rPr>
        <w:rFonts w:ascii="Arial" w:cs="Arial" w:eastAsia="Arial" w:hAnsi="Arial"/>
        <w:color w:val="6B7280"/>
        <w:sz w:val="16"/>
        <w:szCs w:val="16"/>
      </w:rPr>
      <w:t xml:space="preserve">Going Ecuador S.A.S.  •  https://goingec.com  •  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4E40" w:sz="3" w:space="4"/>
      </w:pBdr>
      <w:jc w:val="right"/>
    </w:pPr>
    <w:r>
      <w:rPr>
        <w:rFonts w:ascii="Arial" w:cs="Arial" w:eastAsia="Arial" w:hAnsi="Arial"/>
        <w:color w:val="6B7280"/>
        <w:sz w:val="18"/>
        <w:szCs w:val="18"/>
      </w:rPr>
      <w:t xml:space="preserve">Going Ecuador  |  </w:t>
    </w:r>
    <w:r>
      <w:rPr>
        <w:rFonts w:ascii="Arial" w:cs="Arial" w:eastAsia="Arial" w:hAnsi="Arial"/>
        <w:b/>
        <w:bCs/>
        <w:color w:val="131B2E"/>
        <w:sz w:val="18"/>
        <w:szCs w:val="18"/>
      </w:rPr>
      <w:t xml:space="preserve">Política de Privacidad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31B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3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2026-04-13T21:11:04.956Z</dcterms:created>
  <dcterms:modified xsi:type="dcterms:W3CDTF">2026-04-13T21:11:04.956Z</dcterms:modified>
</cp:coreProperties>
</file>

<file path=docProps/custom.xml><?xml version="1.0" encoding="utf-8"?>
<Properties xmlns="http://schemas.openxmlformats.org/officeDocument/2006/custom-properties" xmlns:vt="http://schemas.openxmlformats.org/officeDocument/2006/docPropsVTypes"/>
</file>