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600" w:before="2000"/>
        <w:jc w:val="center"/>
      </w:pPr>
      <w:r>
        <w:rPr>
          <w:rFonts w:ascii="Arial" w:cs="Arial" w:eastAsia="Arial" w:hAnsi="Arial"/>
          <w:b/>
          <w:bCs/>
          <w:color w:val="1E3A5F"/>
          <w:sz w:val="72"/>
          <w:szCs w:val="72"/>
        </w:rPr>
        <w:t xml:space="preserve">GOING</w:t>
      </w:r>
    </w:p>
    <w:p>
      <w:pPr>
        <w:spacing w:after="400" w:before="0"/>
        <w:jc w:val="center"/>
      </w:pPr>
      <w:r>
        <w:rPr>
          <w:rFonts w:ascii="Arial" w:cs="Arial" w:eastAsia="Arial" w:hAnsi="Arial"/>
          <w:color w:val="555555"/>
          <w:sz w:val="28"/>
          <w:szCs w:val="28"/>
        </w:rPr>
        <w:t xml:space="preserve">Plataforma de Movilidad Corporativa</w:t>
      </w:r>
    </w:p>
    <w:p>
      <w:pPr>
        <w:spacing w:after="200" w:before="600"/>
        <w:jc w:val="center"/>
      </w:pPr>
      <w:r>
        <w:rPr>
          <w:rFonts w:ascii="Arial" w:cs="Arial" w:eastAsia="Arial" w:hAnsi="Arial"/>
          <w:b/>
          <w:bCs/>
          <w:color w:val="1A1A1A"/>
          <w:sz w:val="36"/>
          <w:szCs w:val="36"/>
        </w:rPr>
        <w:t xml:space="preserve">CONDICIONES GENERALES Y CONTRACTUALES</w:t>
      </w:r>
    </w:p>
    <w:p>
      <w:pPr>
        <w:spacing w:after="200" w:before="0"/>
        <w:jc w:val="center"/>
      </w:pPr>
      <w:r>
        <w:rPr>
          <w:rFonts w:ascii="Arial" w:cs="Arial" w:eastAsia="Arial" w:hAnsi="Arial"/>
          <w:color w:val="555555"/>
          <w:sz w:val="24"/>
          <w:szCs w:val="24"/>
        </w:rPr>
        <w:t xml:space="preserve">Para Empresas, Negocios y Agencias de Viaje</w:t>
      </w:r>
    </w:p>
    <w:p>
      <w:pPr>
        <w:spacing w:after="120" w:before="800"/>
        <w:jc w:val="center"/>
      </w:pPr>
      <w:r>
        <w:rPr>
          <w:rFonts w:ascii="Arial" w:cs="Arial" w:eastAsia="Arial" w:hAnsi="Arial"/>
          <w:i/>
          <w:iCs/>
          <w:color w:val="888888"/>
          <w:sz w:val="18"/>
          <w:szCs w:val="18"/>
        </w:rPr>
        <w:t xml:space="preserve">Versión: 1.0 — 21 de abril de 2026</w:t>
      </w:r>
    </w:p>
    <w:p>
      <w:pPr>
        <w:jc w:val="center"/>
      </w:pPr>
      <w:r>
        <w:rPr>
          <w:rFonts w:ascii="Arial" w:cs="Arial" w:eastAsia="Arial" w:hAnsi="Arial"/>
          <w:i/>
          <w:iCs/>
          <w:color w:val="888888"/>
          <w:sz w:val="18"/>
          <w:szCs w:val="18"/>
        </w:rPr>
        <w:t xml:space="preserve">Ecuador · Confidencial</w:t>
      </w:r>
    </w:p>
    <w:p>
      <w:r>
        <w:br w:type="page"/>
      </w:r>
    </w:p>
    <w:sdt>
      <w:sdtPr>
        <w:alias w:val="Tabla de Contenidos"/>
      </w:sdtPr>
      <w:sdtContent>
        <w:p>
          <w:r>
            <w:fldChar w:fldCharType="begin" w:dirty="true"/>
            <w:instrText xml:space="preserve">TOC \h \o "1-2"</w:instrText>
            <w:fldChar w:fldCharType="separate"/>
          </w:r>
        </w:p>
        <w:p>
          <w:r>
            <w:fldChar w:fldCharType="end"/>
          </w:r>
        </w:p>
      </w:sdtContent>
    </w:sdt>
    <w:p>
      <w:pPr>
        <w:pStyle w:val="Heading1"/>
        <w:pageBreakBefore/>
        <w:spacing w:after="200" w:before="0"/>
      </w:pPr>
      <w:r>
        <w:rPr>
          <w:rFonts w:ascii="Arial" w:cs="Arial" w:eastAsia="Arial" w:hAnsi="Arial"/>
          <w:b/>
          <w:bCs/>
          <w:color w:val="1E3A5F"/>
          <w:sz w:val="32"/>
          <w:szCs w:val="32"/>
        </w:rPr>
        <w:t xml:space="preserve">1. Definiciones Generales</w:t>
      </w:r>
    </w:p>
    <w:p>
      <w:pPr>
        <w:spacing w:after="120" w:before="60"/>
        <w:jc w:val="both"/>
      </w:pPr>
      <w:r>
        <w:rPr>
          <w:rFonts w:ascii="Arial" w:cs="Arial" w:eastAsia="Arial" w:hAnsi="Arial"/>
          <w:color w:val="1A1A1A"/>
          <w:sz w:val="20"/>
          <w:szCs w:val="20"/>
        </w:rPr>
        <w:t xml:space="preserve">Para efectos del presente documento, los siguientes términos tendrán el significado que a continuación se indica:</w:t>
      </w:r>
    </w:p>
    <w:p>
      <w:pPr>
        <w:spacing w:after="60" w:before="60"/>
      </w:pPr>
      <w:r>
        <w:t xml:space="preserve"/>
      </w:r>
    </w:p>
    <w:p>
      <w:pPr>
        <w:pStyle w:val="ListParagraph"/>
        <w:numPr>
          <w:ilvl w:val="0"/>
          <w:numId w:val="2"/>
        </w:numPr>
        <w:spacing w:after="40" w:before="40"/>
      </w:pPr>
      <w:r>
        <w:rPr>
          <w:rFonts w:ascii="Arial" w:cs="Arial" w:eastAsia="Arial" w:hAnsi="Arial"/>
          <w:color w:val="1A1A1A"/>
          <w:sz w:val="20"/>
          <w:szCs w:val="20"/>
        </w:rPr>
        <w:t xml:space="preserve">"Going" o la "Plataforma": La plataforma tecnológica de movilidad corporativa operada por [RAZÓN SOCIAL GOING], con RUC [NÚMERO RUC], domiciliada en [CIUDAD], Ecuador.</w:t>
      </w:r>
    </w:p>
    <w:p>
      <w:pPr>
        <w:pStyle w:val="ListParagraph"/>
        <w:numPr>
          <w:ilvl w:val="0"/>
          <w:numId w:val="2"/>
        </w:numPr>
        <w:spacing w:after="40" w:before="40"/>
      </w:pPr>
      <w:r>
        <w:rPr>
          <w:rFonts w:ascii="Arial" w:cs="Arial" w:eastAsia="Arial" w:hAnsi="Arial"/>
          <w:color w:val="1A1A1A"/>
          <w:sz w:val="20"/>
          <w:szCs w:val="20"/>
        </w:rPr>
        <w:t xml:space="preserve">"Cliente": La persona jurídica o natural que suscribe los presentes términos y condiciones y accede a los servicios de Going.</w:t>
      </w:r>
    </w:p>
    <w:p>
      <w:pPr>
        <w:pStyle w:val="ListParagraph"/>
        <w:numPr>
          <w:ilvl w:val="0"/>
          <w:numId w:val="2"/>
        </w:numPr>
        <w:spacing w:after="40" w:before="40"/>
      </w:pPr>
      <w:r>
        <w:rPr>
          <w:rFonts w:ascii="Arial" w:cs="Arial" w:eastAsia="Arial" w:hAnsi="Arial"/>
          <w:color w:val="1A1A1A"/>
          <w:sz w:val="20"/>
          <w:szCs w:val="20"/>
        </w:rPr>
        <w:t xml:space="preserve">"Cuenta Corporativa": El acceso al panel de control Going para Empresas asignado al Cliente.</w:t>
      </w:r>
    </w:p>
    <w:p>
      <w:pPr>
        <w:pStyle w:val="ListParagraph"/>
        <w:numPr>
          <w:ilvl w:val="0"/>
          <w:numId w:val="2"/>
        </w:numPr>
        <w:spacing w:after="40" w:before="40"/>
      </w:pPr>
      <w:r>
        <w:rPr>
          <w:rFonts w:ascii="Arial" w:cs="Arial" w:eastAsia="Arial" w:hAnsi="Arial"/>
          <w:color w:val="1A1A1A"/>
          <w:sz w:val="20"/>
          <w:szCs w:val="20"/>
        </w:rPr>
        <w:t xml:space="preserve">"Viaje" o "Servicio": Cualquier servicio de transporte, alojamiento, tour o experiencia solicitado a través de la Plataforma.</w:t>
      </w:r>
    </w:p>
    <w:p>
      <w:pPr>
        <w:pStyle w:val="ListParagraph"/>
        <w:numPr>
          <w:ilvl w:val="0"/>
          <w:numId w:val="2"/>
        </w:numPr>
        <w:spacing w:after="40" w:before="40"/>
      </w:pPr>
      <w:r>
        <w:rPr>
          <w:rFonts w:ascii="Arial" w:cs="Arial" w:eastAsia="Arial" w:hAnsi="Arial"/>
          <w:color w:val="1A1A1A"/>
          <w:sz w:val="20"/>
          <w:szCs w:val="20"/>
        </w:rPr>
        <w:t xml:space="preserve">"Booking": La reserva confirmada de un Viaje en la Plataforma.</w:t>
      </w:r>
    </w:p>
    <w:p>
      <w:pPr>
        <w:pStyle w:val="ListParagraph"/>
        <w:numPr>
          <w:ilvl w:val="0"/>
          <w:numId w:val="2"/>
        </w:numPr>
        <w:spacing w:after="40" w:before="40"/>
      </w:pPr>
      <w:r>
        <w:rPr>
          <w:rFonts w:ascii="Arial" w:cs="Arial" w:eastAsia="Arial" w:hAnsi="Arial"/>
          <w:color w:val="1A1A1A"/>
          <w:sz w:val="20"/>
          <w:szCs w:val="20"/>
        </w:rPr>
        <w:t xml:space="preserve">"Aprobador": Usuario designado por el Cliente con facultad para aprobar o rechazar Bookings.</w:t>
      </w:r>
    </w:p>
    <w:p>
      <w:pPr>
        <w:pStyle w:val="ListParagraph"/>
        <w:numPr>
          <w:ilvl w:val="0"/>
          <w:numId w:val="2"/>
        </w:numPr>
        <w:spacing w:after="40" w:before="40"/>
      </w:pPr>
      <w:r>
        <w:rPr>
          <w:rFonts w:ascii="Arial" w:cs="Arial" w:eastAsia="Arial" w:hAnsi="Arial"/>
          <w:color w:val="1A1A1A"/>
          <w:sz w:val="20"/>
          <w:szCs w:val="20"/>
        </w:rPr>
        <w:t xml:space="preserve">"Agente": Usuario de una Agencia de Viajes autorizado para reservar Viajes a nombre de terceros.</w:t>
      </w:r>
    </w:p>
    <w:p>
      <w:pPr>
        <w:pStyle w:val="ListParagraph"/>
        <w:numPr>
          <w:ilvl w:val="0"/>
          <w:numId w:val="2"/>
        </w:numPr>
        <w:spacing w:after="40" w:before="40"/>
      </w:pPr>
      <w:r>
        <w:rPr>
          <w:rFonts w:ascii="Arial" w:cs="Arial" w:eastAsia="Arial" w:hAnsi="Arial"/>
          <w:color w:val="1A1A1A"/>
          <w:sz w:val="20"/>
          <w:szCs w:val="20"/>
        </w:rPr>
        <w:t xml:space="preserve">"Comisión": Porcentaje del valor del Viaje que corresponde a la Agencia de Viajes por su gestión.</w:t>
      </w:r>
    </w:p>
    <w:p>
      <w:pPr>
        <w:pStyle w:val="ListParagraph"/>
        <w:numPr>
          <w:ilvl w:val="0"/>
          <w:numId w:val="2"/>
        </w:numPr>
        <w:spacing w:after="40" w:before="40"/>
      </w:pPr>
      <w:r>
        <w:rPr>
          <w:rFonts w:ascii="Arial" w:cs="Arial" w:eastAsia="Arial" w:hAnsi="Arial"/>
          <w:color w:val="1A1A1A"/>
          <w:sz w:val="20"/>
          <w:szCs w:val="20"/>
        </w:rPr>
        <w:t xml:space="preserve">"Crédito Corporativo": Línea de crédito otorgada por Going al Cliente bajo condiciones específicas.</w:t>
      </w:r>
    </w:p>
    <w:p>
      <w:pPr>
        <w:pStyle w:val="ListParagraph"/>
        <w:numPr>
          <w:ilvl w:val="0"/>
          <w:numId w:val="2"/>
        </w:numPr>
        <w:spacing w:after="40" w:before="40"/>
      </w:pPr>
      <w:r>
        <w:rPr>
          <w:rFonts w:ascii="Arial" w:cs="Arial" w:eastAsia="Arial" w:hAnsi="Arial"/>
          <w:color w:val="1A1A1A"/>
          <w:sz w:val="20"/>
          <w:szCs w:val="20"/>
        </w:rPr>
        <w:t xml:space="preserve">"Día Hábil": Lunes a viernes, excluidos feriados nacionales del Ecuador.</w:t>
      </w:r>
    </w:p>
    <w:p>
      <w:pPr>
        <w:spacing w:after="60" w:before="60"/>
      </w:pPr>
      <w:r>
        <w:t xml:space="preserve"/>
      </w:r>
    </w:p>
    <w:p>
      <w:pPr>
        <w:spacing w:after="120" w:before="60"/>
        <w:jc w:val="both"/>
      </w:pPr>
      <w:r>
        <w:rPr>
          <w:rFonts w:ascii="Arial" w:cs="Arial" w:eastAsia="Arial" w:hAnsi="Arial"/>
          <w:color w:val="1A1A1A"/>
          <w:sz w:val="20"/>
          <w:szCs w:val="20"/>
        </w:rPr>
        <w:t xml:space="preserve">Cualquier término no definido en este documento se interpretará conforme al uso común en el sector de la movilidad y el derecho ecuatoriano.</w:t>
      </w:r>
    </w:p>
    <w:p>
      <w:pPr>
        <w:pStyle w:val="Heading1"/>
        <w:pageBreakBefore/>
        <w:spacing w:after="200" w:before="0"/>
      </w:pPr>
      <w:r>
        <w:rPr>
          <w:rFonts w:ascii="Arial" w:cs="Arial" w:eastAsia="Arial" w:hAnsi="Arial"/>
          <w:b/>
          <w:bCs/>
          <w:color w:val="1E3A5F"/>
          <w:sz w:val="32"/>
          <w:szCs w:val="32"/>
        </w:rPr>
        <w:t xml:space="preserve">2. Disposiciones Comunes a Todos los Tipos de Cuenta</w:t>
      </w:r>
    </w:p>
    <w:p>
      <w:pPr>
        <w:pStyle w:val="Heading2"/>
        <w:spacing w:after="120" w:before="280"/>
      </w:pPr>
      <w:r>
        <w:rPr>
          <w:rFonts w:ascii="Arial" w:cs="Arial" w:eastAsia="Arial" w:hAnsi="Arial"/>
          <w:b/>
          <w:bCs/>
          <w:color w:val="1E3A5F"/>
          <w:sz w:val="26"/>
          <w:szCs w:val="26"/>
        </w:rPr>
        <w:t xml:space="preserve">2.1 Aceptación de Condiciones</w:t>
      </w:r>
    </w:p>
    <w:p>
      <w:pPr>
        <w:spacing w:after="120" w:before="60"/>
        <w:jc w:val="both"/>
      </w:pPr>
      <w:r>
        <w:rPr>
          <w:rFonts w:ascii="Arial" w:cs="Arial" w:eastAsia="Arial" w:hAnsi="Arial"/>
          <w:color w:val="1A1A1A"/>
          <w:sz w:val="20"/>
          <w:szCs w:val="20"/>
        </w:rPr>
        <w:t xml:space="preserve">El registro y uso de Going para Empresas implica la aceptación plena e incondicional de las presentes Condiciones Generales, así como de las condiciones específicas aplicables al tipo de cuenta contratada. El Cliente declara tener capacidad legal para obligarse en nombre de la persona jurídica que representa.</w:t>
      </w:r>
    </w:p>
    <w:p>
      <w:pPr>
        <w:pStyle w:val="Heading2"/>
        <w:spacing w:after="120" w:before="280"/>
      </w:pPr>
      <w:r>
        <w:rPr>
          <w:rFonts w:ascii="Arial" w:cs="Arial" w:eastAsia="Arial" w:hAnsi="Arial"/>
          <w:b/>
          <w:bCs/>
          <w:color w:val="1E3A5F"/>
          <w:sz w:val="26"/>
          <w:szCs w:val="26"/>
        </w:rPr>
        <w:t xml:space="preserve">2.2 Uso Aceptable de la Plataforma</w:t>
      </w:r>
    </w:p>
    <w:p>
      <w:pPr>
        <w:spacing w:after="120" w:before="60"/>
        <w:jc w:val="both"/>
      </w:pPr>
      <w:r>
        <w:rPr>
          <w:rFonts w:ascii="Arial" w:cs="Arial" w:eastAsia="Arial" w:hAnsi="Arial"/>
          <w:color w:val="1A1A1A"/>
          <w:sz w:val="20"/>
          <w:szCs w:val="20"/>
        </w:rPr>
        <w:t xml:space="preserve">El Cliente se compromete a utilizar la Plataforma exclusivamente para fines lícitos y relacionados con la movilidad corporativa. Queda prohibido:</w:t>
      </w:r>
    </w:p>
    <w:p>
      <w:pPr>
        <w:pStyle w:val="ListParagraph"/>
        <w:numPr>
          <w:ilvl w:val="0"/>
          <w:numId w:val="2"/>
        </w:numPr>
        <w:spacing w:after="40" w:before="40"/>
      </w:pPr>
      <w:r>
        <w:rPr>
          <w:rFonts w:ascii="Arial" w:cs="Arial" w:eastAsia="Arial" w:hAnsi="Arial"/>
          <w:color w:val="1A1A1A"/>
          <w:sz w:val="20"/>
          <w:szCs w:val="20"/>
        </w:rPr>
        <w:t xml:space="preserve">Ceder, sublicenciar o transferir el acceso a la Cuenta Corporativa a terceros no autorizados.</w:t>
      </w:r>
    </w:p>
    <w:p>
      <w:pPr>
        <w:pStyle w:val="ListParagraph"/>
        <w:numPr>
          <w:ilvl w:val="0"/>
          <w:numId w:val="2"/>
        </w:numPr>
        <w:spacing w:after="40" w:before="40"/>
      </w:pPr>
      <w:r>
        <w:rPr>
          <w:rFonts w:ascii="Arial" w:cs="Arial" w:eastAsia="Arial" w:hAnsi="Arial"/>
          <w:color w:val="1A1A1A"/>
          <w:sz w:val="20"/>
          <w:szCs w:val="20"/>
        </w:rPr>
        <w:t xml:space="preserve">Utilizar la Plataforma para fines que contravengan la ley ecuatoriana o el orden público.</w:t>
      </w:r>
    </w:p>
    <w:p>
      <w:pPr>
        <w:pStyle w:val="ListParagraph"/>
        <w:numPr>
          <w:ilvl w:val="0"/>
          <w:numId w:val="2"/>
        </w:numPr>
        <w:spacing w:after="40" w:before="40"/>
      </w:pPr>
      <w:r>
        <w:rPr>
          <w:rFonts w:ascii="Arial" w:cs="Arial" w:eastAsia="Arial" w:hAnsi="Arial"/>
          <w:color w:val="1A1A1A"/>
          <w:sz w:val="20"/>
          <w:szCs w:val="20"/>
        </w:rPr>
        <w:t xml:space="preserve">Introducir información falsa o engañosa en el proceso de registro o solicitud de servicios.</w:t>
      </w:r>
    </w:p>
    <w:p>
      <w:pPr>
        <w:pStyle w:val="ListParagraph"/>
        <w:numPr>
          <w:ilvl w:val="0"/>
          <w:numId w:val="2"/>
        </w:numPr>
        <w:spacing w:after="40" w:before="40"/>
      </w:pPr>
      <w:r>
        <w:rPr>
          <w:rFonts w:ascii="Arial" w:cs="Arial" w:eastAsia="Arial" w:hAnsi="Arial"/>
          <w:color w:val="1A1A1A"/>
          <w:sz w:val="20"/>
          <w:szCs w:val="20"/>
        </w:rPr>
        <w:t xml:space="preserve">Realizar Bookings con intención de cancelarlos de forma reiterada con el fin de perjudicar a conductores o prestadores de servicios.</w:t>
      </w:r>
    </w:p>
    <w:p>
      <w:pPr>
        <w:pStyle w:val="Heading2"/>
        <w:spacing w:after="120" w:before="280"/>
      </w:pPr>
      <w:r>
        <w:rPr>
          <w:rFonts w:ascii="Arial" w:cs="Arial" w:eastAsia="Arial" w:hAnsi="Arial"/>
          <w:b/>
          <w:bCs/>
          <w:color w:val="1E3A5F"/>
          <w:sz w:val="26"/>
          <w:szCs w:val="26"/>
        </w:rPr>
        <w:t xml:space="preserve">2.3 Privacidad y Tratamiento de Datos</w:t>
      </w:r>
    </w:p>
    <w:p>
      <w:pPr>
        <w:spacing w:after="120" w:before="60"/>
        <w:jc w:val="both"/>
      </w:pPr>
      <w:r>
        <w:rPr>
          <w:rFonts w:ascii="Arial" w:cs="Arial" w:eastAsia="Arial" w:hAnsi="Arial"/>
          <w:color w:val="1A1A1A"/>
          <w:sz w:val="20"/>
          <w:szCs w:val="20"/>
        </w:rPr>
        <w:t xml:space="preserve">Going tratará los datos personales del Cliente y sus usuarios conforme a su Política de Privacidad vigente y a la Ley Orgánica de Protección de Datos Personales del Ecuador (LOPDP). El Cliente autoriza el tratamiento de sus datos para la prestación del servicio, facturación y comunicaciones relacionadas con su cuenta.</w:t>
      </w:r>
    </w:p>
    <w:p>
      <w:pPr>
        <w:pStyle w:val="Heading2"/>
        <w:spacing w:after="120" w:before="280"/>
      </w:pPr>
      <w:r>
        <w:rPr>
          <w:rFonts w:ascii="Arial" w:cs="Arial" w:eastAsia="Arial" w:hAnsi="Arial"/>
          <w:b/>
          <w:bCs/>
          <w:color w:val="1E3A5F"/>
          <w:sz w:val="26"/>
          <w:szCs w:val="26"/>
        </w:rPr>
        <w:t xml:space="preserve">2.4 Cancelaciones y Penalidades Generales</w:t>
      </w:r>
    </w:p>
    <w:p>
      <w:pPr>
        <w:spacing w:after="120" w:before="60"/>
        <w:jc w:val="both"/>
      </w:pPr>
      <w:r>
        <w:rPr>
          <w:rFonts w:ascii="Arial" w:cs="Arial" w:eastAsia="Arial" w:hAnsi="Arial"/>
          <w:color w:val="1A1A1A"/>
          <w:sz w:val="20"/>
          <w:szCs w:val="20"/>
        </w:rPr>
        <w:t xml:space="preserve">La política de cancelación aplicable dependerá del tipo de servicio y del tiempo de anticipación: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60"/>
            </w:tcMar>
          </w:tcPr>
          <w:p>
            <w:r>
              <w:rPr>
                <w:rFonts w:ascii="Arial" w:cs="Arial" w:eastAsia="Arial" w:hAnsi="Arial"/>
                <w:b/>
                <w:bCs/>
                <w:color w:val="FFFFFF"/>
                <w:sz w:val="18"/>
                <w:szCs w:val="18"/>
              </w:rPr>
              <w:t xml:space="preserve">Anticipación</w:t>
            </w:r>
          </w:p>
        </w:tc>
        <w:tc>
          <w:tcPr>
            <w:tcW w:type="dxa" w:w="3013"/>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60"/>
            </w:tcMar>
          </w:tcPr>
          <w:p>
            <w:r>
              <w:rPr>
                <w:rFonts w:ascii="Arial" w:cs="Arial" w:eastAsia="Arial" w:hAnsi="Arial"/>
                <w:b/>
                <w:bCs/>
                <w:color w:val="FFFFFF"/>
                <w:sz w:val="18"/>
                <w:szCs w:val="18"/>
              </w:rPr>
              <w:t xml:space="preserve">Penalidad</w:t>
            </w:r>
          </w:p>
        </w:tc>
        <w:tc>
          <w:tcPr>
            <w:tcW w:type="dxa" w:w="3013"/>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60"/>
            </w:tcMar>
          </w:tcPr>
          <w:p>
            <w:r>
              <w:rPr>
                <w:rFonts w:ascii="Arial" w:cs="Arial" w:eastAsia="Arial" w:hAnsi="Arial"/>
                <w:b/>
                <w:bCs/>
                <w:color w:val="FFFFFF"/>
                <w:sz w:val="18"/>
                <w:szCs w:val="18"/>
              </w:rPr>
              <w:t xml:space="preserve">Aplicación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Más de [X] horas antes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Sin penalidad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Todas las cuentas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18"/>
                <w:szCs w:val="18"/>
              </w:rPr>
              <w:t xml:space="preserve">Entre [Y] y [X] horas</w:t>
            </w:r>
          </w:p>
        </w:tc>
        <w:tc>
          <w:tcPr>
            <w:tcW w:type="dxa" w:w="30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CC0000"/>
                <w:sz w:val="20"/>
                <w:szCs w:val="20"/>
              </w:rPr>
              <w:t xml:space="preserve">[[%] del valor del Viaje]</w:t>
            </w:r>
          </w:p>
        </w:tc>
        <w:tc>
          <w:tcPr>
            <w:tcW w:type="dxa" w:w="30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18"/>
                <w:szCs w:val="18"/>
              </w:rPr>
              <w:t xml:space="preserve">Todas las cuentas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Menos de [Y] horas / No show</w:t>
            </w:r>
          </w:p>
        </w:tc>
        <w:tc>
          <w:tcPr>
            <w:tcW w:type="dxa" w:w="30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CC0000"/>
                <w:sz w:val="20"/>
                <w:szCs w:val="20"/>
              </w:rPr>
              <w:t xml:space="preserve">[[%] del valor del Viaje]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Todas las cuentas</w:t>
            </w:r>
          </w:p>
        </w:tc>
      </w:tr>
    </w:tbl>
    <w:p>
      <w:pPr>
        <w:spacing w:after="60" w:before="60"/>
      </w:pPr>
      <w:r>
        <w:t xml:space="preserve"/>
      </w:r>
    </w:p>
    <w:p>
      <w:pPr>
        <w:pStyle w:val="Heading2"/>
        <w:spacing w:after="120" w:before="280"/>
      </w:pPr>
      <w:r>
        <w:rPr>
          <w:rFonts w:ascii="Arial" w:cs="Arial" w:eastAsia="Arial" w:hAnsi="Arial"/>
          <w:b/>
          <w:bCs/>
          <w:color w:val="1E3A5F"/>
          <w:sz w:val="26"/>
          <w:szCs w:val="26"/>
        </w:rPr>
        <w:t xml:space="preserve">2.5 Propiedad Intelectual</w:t>
      </w:r>
    </w:p>
    <w:p>
      <w:pPr>
        <w:spacing w:after="120" w:before="60"/>
        <w:jc w:val="both"/>
      </w:pPr>
      <w:r>
        <w:rPr>
          <w:rFonts w:ascii="Arial" w:cs="Arial" w:eastAsia="Arial" w:hAnsi="Arial"/>
          <w:color w:val="1A1A1A"/>
          <w:sz w:val="20"/>
          <w:szCs w:val="20"/>
        </w:rPr>
        <w:t xml:space="preserve">Todos los derechos de propiedad intelectual sobre la Plataforma, incluyendo su software, diseño y contenidos, son propiedad exclusiva de Going. El Cliente obtiene únicamente una licencia limitada, no exclusiva e intransferible de uso.</w:t>
      </w:r>
    </w:p>
    <w:p>
      <w:pPr>
        <w:pStyle w:val="Heading2"/>
        <w:spacing w:after="120" w:before="280"/>
      </w:pPr>
      <w:r>
        <w:rPr>
          <w:rFonts w:ascii="Arial" w:cs="Arial" w:eastAsia="Arial" w:hAnsi="Arial"/>
          <w:b/>
          <w:bCs/>
          <w:color w:val="1E3A5F"/>
          <w:sz w:val="26"/>
          <w:szCs w:val="26"/>
        </w:rPr>
        <w:t xml:space="preserve">2.6 Limitación de Responsabilidad</w:t>
      </w:r>
    </w:p>
    <w:p>
      <w:pPr>
        <w:spacing w:after="120" w:before="60"/>
        <w:jc w:val="both"/>
      </w:pPr>
      <w:r>
        <w:rPr>
          <w:rFonts w:ascii="Arial" w:cs="Arial" w:eastAsia="Arial" w:hAnsi="Arial"/>
          <w:color w:val="1A1A1A"/>
          <w:sz w:val="20"/>
          <w:szCs w:val="20"/>
        </w:rPr>
        <w:t xml:space="preserve">Going no será responsable por daños indirectos, lucro cesante, pérdida de datos ni daños a la reputación derivados del uso de la Plataforma. La responsabilidad total de Going frente al Cliente no excederá el valor facturado en los últimos [3] meses anteriores al evento generador.</w:t>
      </w:r>
    </w:p>
    <w:p>
      <w:pPr>
        <w:pStyle w:val="Heading2"/>
        <w:spacing w:after="120" w:before="280"/>
      </w:pPr>
      <w:r>
        <w:rPr>
          <w:rFonts w:ascii="Arial" w:cs="Arial" w:eastAsia="Arial" w:hAnsi="Arial"/>
          <w:b/>
          <w:bCs/>
          <w:color w:val="1E3A5F"/>
          <w:sz w:val="26"/>
          <w:szCs w:val="26"/>
        </w:rPr>
        <w:t xml:space="preserve">2.7 Modificaciones</w:t>
      </w:r>
    </w:p>
    <w:p>
      <w:pPr>
        <w:spacing w:after="120" w:before="60"/>
        <w:jc w:val="both"/>
      </w:pPr>
      <w:r>
        <w:rPr>
          <w:rFonts w:ascii="Arial" w:cs="Arial" w:eastAsia="Arial" w:hAnsi="Arial"/>
          <w:color w:val="1A1A1A"/>
          <w:sz w:val="20"/>
          <w:szCs w:val="20"/>
        </w:rPr>
        <w:t xml:space="preserve">Going podrá modificar las presentes Condiciones con un preaviso mínimo de [30] días calendario notificado al correo electrónico registrado del Cliente. El uso continuado de la Plataforma tras el vencimiento del plazo implicará aceptación.</w:t>
      </w:r>
    </w:p>
    <w:p>
      <w:pPr>
        <w:pStyle w:val="Heading1"/>
        <w:pageBreakBefore/>
        <w:spacing w:after="200" w:before="0"/>
      </w:pPr>
      <w:r>
        <w:rPr>
          <w:rFonts w:ascii="Arial" w:cs="Arial" w:eastAsia="Arial" w:hAnsi="Arial"/>
          <w:b/>
          <w:bCs/>
          <w:color w:val="1E3A5F"/>
          <w:sz w:val="32"/>
          <w:szCs w:val="32"/>
        </w:rPr>
        <w:t xml:space="preserve">3. Condiciones para Cuenta Empresa Grande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Resumen de Condiciones — Empresa Grande</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Plazo de pago</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40 días calendario desde la fecha de factura</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Crédito corporativo</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CC0000"/>
                <w:sz w:val="20"/>
                <w:szCs w:val="20"/>
              </w:rPr>
              <w:t xml:space="preserve">[USD [MONTO] máximo]</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Aprobaciones</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Multinivel — obligatorias</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Penalidad mora</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CC0000"/>
                <w:sz w:val="20"/>
                <w:szCs w:val="20"/>
              </w:rPr>
              <w:t xml:space="preserve">[[X]% mensual sobre saldo vencido]</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Duración contrato</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12 meses, renovación automática</w:t>
            </w:r>
          </w:p>
        </w:tc>
      </w:tr>
    </w:tbl>
    <w:p>
      <w:pPr>
        <w:spacing w:after="60" w:before="60"/>
      </w:pPr>
      <w:r>
        <w:t xml:space="preserve"/>
      </w:r>
    </w:p>
    <w:p>
      <w:pPr>
        <w:pStyle w:val="Heading2"/>
        <w:spacing w:after="120" w:before="280"/>
      </w:pPr>
      <w:r>
        <w:rPr>
          <w:rFonts w:ascii="Arial" w:cs="Arial" w:eastAsia="Arial" w:hAnsi="Arial"/>
          <w:b/>
          <w:bCs/>
          <w:color w:val="1E3A5F"/>
          <w:sz w:val="26"/>
          <w:szCs w:val="26"/>
        </w:rPr>
        <w:t xml:space="preserve">3.1 Objeto</w:t>
      </w:r>
    </w:p>
    <w:p>
      <w:pPr>
        <w:spacing w:after="120" w:before="60"/>
        <w:jc w:val="both"/>
      </w:pPr>
      <w:r>
        <w:rPr>
          <w:rFonts w:ascii="Arial" w:cs="Arial" w:eastAsia="Arial" w:hAnsi="Arial"/>
          <w:color w:val="1A1A1A"/>
          <w:sz w:val="20"/>
          <w:szCs w:val="20"/>
        </w:rPr>
        <w:t xml:space="preserve">La Cuenta Empresa Grande permite a organizaciones de alta facturación gestionar su movilidad corporativa con crédito, aprobaciones multinivel, wallet consolidada y reportería avanzada.</w:t>
      </w:r>
    </w:p>
    <w:p>
      <w:pPr>
        <w:pStyle w:val="Heading2"/>
        <w:spacing w:after="120" w:before="280"/>
      </w:pPr>
      <w:r>
        <w:rPr>
          <w:rFonts w:ascii="Arial" w:cs="Arial" w:eastAsia="Arial" w:hAnsi="Arial"/>
          <w:b/>
          <w:bCs/>
          <w:color w:val="1E3A5F"/>
          <w:sz w:val="26"/>
          <w:szCs w:val="26"/>
        </w:rPr>
        <w:t xml:space="preserve">3.2 Requisitos de Elegibilidad</w:t>
      </w:r>
    </w:p>
    <w:p>
      <w:pPr>
        <w:spacing w:after="120" w:before="60"/>
        <w:jc w:val="both"/>
      </w:pPr>
      <w:r>
        <w:rPr>
          <w:rFonts w:ascii="Arial" w:cs="Arial" w:eastAsia="Arial" w:hAnsi="Arial"/>
          <w:color w:val="1A1A1A"/>
          <w:sz w:val="20"/>
          <w:szCs w:val="20"/>
        </w:rPr>
        <w:t xml:space="preserve">Podrán acceder a esta modalidad las personas jurídicas que cumplan al menos uno de los siguientes criterios:</w:t>
      </w:r>
    </w:p>
    <w:p>
      <w:pPr>
        <w:pStyle w:val="ListParagraph"/>
        <w:numPr>
          <w:ilvl w:val="0"/>
          <w:numId w:val="2"/>
        </w:numPr>
        <w:spacing w:after="40" w:before="40"/>
      </w:pPr>
      <w:r>
        <w:rPr>
          <w:rFonts w:ascii="Arial" w:cs="Arial" w:eastAsia="Arial" w:hAnsi="Arial"/>
          <w:color w:val="1A1A1A"/>
          <w:sz w:val="20"/>
          <w:szCs w:val="20"/>
        </w:rPr>
        <w:t xml:space="preserve">Facturación anual igual o superior a [USD [MONTO MÍNIMO FACTURACIÓN]]</w:t>
      </w:r>
    </w:p>
    <w:p>
      <w:pPr>
        <w:pStyle w:val="ListParagraph"/>
        <w:numPr>
          <w:ilvl w:val="0"/>
          <w:numId w:val="2"/>
        </w:numPr>
        <w:spacing w:after="40" w:before="40"/>
      </w:pPr>
      <w:r>
        <w:rPr>
          <w:rFonts w:ascii="Arial" w:cs="Arial" w:eastAsia="Arial" w:hAnsi="Arial"/>
          <w:color w:val="1A1A1A"/>
          <w:sz w:val="20"/>
          <w:szCs w:val="20"/>
        </w:rPr>
        <w:t xml:space="preserve">Número de empleados igual o superior a [N] personas.</w:t>
      </w:r>
    </w:p>
    <w:p>
      <w:pPr>
        <w:pStyle w:val="ListParagraph"/>
        <w:numPr>
          <w:ilvl w:val="0"/>
          <w:numId w:val="2"/>
        </w:numPr>
        <w:spacing w:after="40" w:before="40"/>
      </w:pPr>
      <w:r>
        <w:rPr>
          <w:rFonts w:ascii="Arial" w:cs="Arial" w:eastAsia="Arial" w:hAnsi="Arial"/>
          <w:color w:val="1A1A1A"/>
          <w:sz w:val="20"/>
          <w:szCs w:val="20"/>
        </w:rPr>
        <w:t xml:space="preserve">Volumen mensual estimado de Viajes igual o superior a [N] Bookings.</w:t>
      </w:r>
    </w:p>
    <w:p>
      <w:pPr>
        <w:spacing w:after="120" w:before="60"/>
        <w:jc w:val="both"/>
      </w:pPr>
      <w:r>
        <w:rPr>
          <w:rFonts w:ascii="Arial" w:cs="Arial" w:eastAsia="Arial" w:hAnsi="Arial"/>
          <w:color w:val="1A1A1A"/>
          <w:sz w:val="20"/>
          <w:szCs w:val="20"/>
        </w:rPr>
        <w:t xml:space="preserve">Going se reserva el derecho de verificar los criterios de elegibilidad mediante documentación de respaldo (RUC, estados financieros, declaraciones tributarias).</w:t>
      </w:r>
    </w:p>
    <w:p>
      <w:pPr>
        <w:pStyle w:val="Heading2"/>
        <w:spacing w:after="120" w:before="280"/>
      </w:pPr>
      <w:r>
        <w:rPr>
          <w:rFonts w:ascii="Arial" w:cs="Arial" w:eastAsia="Arial" w:hAnsi="Arial"/>
          <w:b/>
          <w:bCs/>
          <w:color w:val="1E3A5F"/>
          <w:sz w:val="26"/>
          <w:szCs w:val="26"/>
        </w:rPr>
        <w:t xml:space="preserve">3.3 Crédito Corporativo</w:t>
      </w:r>
    </w:p>
    <w:p>
      <w:pPr>
        <w:spacing w:after="120" w:before="60"/>
        <w:jc w:val="both"/>
      </w:pPr>
      <w:r>
        <w:rPr>
          <w:rFonts w:ascii="Arial" w:cs="Arial" w:eastAsia="Arial" w:hAnsi="Arial"/>
          <w:color w:val="1A1A1A"/>
          <w:sz w:val="20"/>
          <w:szCs w:val="20"/>
        </w:rPr>
        <w:t xml:space="preserve">Going otorgará al Cliente una línea de Crédito Corporativo de hasta </w:t>
      </w:r>
    </w:p>
    <w:p>
      <w:pPr>
        <w:spacing w:after="120" w:before="60"/>
        <w:jc w:val="both"/>
      </w:pPr>
      <w:r>
        <w:rPr>
          <w:rFonts w:ascii="Arial" w:cs="Arial" w:eastAsia="Arial" w:hAnsi="Arial"/>
          <w:color w:val="1A1A1A"/>
          <w:sz w:val="20"/>
          <w:szCs w:val="20"/>
        </w:rPr>
        <w:t xml:space="preserve">USD </w:t>
      </w:r>
      <w:r>
        <w:rPr>
          <w:rFonts w:ascii="Arial" w:cs="Arial" w:eastAsia="Arial" w:hAnsi="Arial"/>
          <w:b/>
          <w:bCs/>
          <w:color w:val="CC0000"/>
          <w:sz w:val="20"/>
          <w:szCs w:val="20"/>
        </w:rPr>
        <w:t xml:space="preserve">[MONTO MÁXIMO DE CRÉDITO]</w:t>
      </w:r>
      <w:r>
        <w:rPr>
          <w:rFonts w:ascii="Arial" w:cs="Arial" w:eastAsia="Arial" w:hAnsi="Arial"/>
          <w:color w:val="1A1A1A"/>
          <w:sz w:val="20"/>
          <w:szCs w:val="20"/>
        </w:rPr>
        <w:t xml:space="preserve">, sujeta a evaluación crediticia periódica. El crédito cubre la totalidad de los Bookings aprobados durante el período de facturación correspondiente.</w:t>
      </w:r>
    </w:p>
    <w:p>
      <w:pPr>
        <w:spacing w:after="120" w:before="60"/>
        <w:jc w:val="both"/>
      </w:pPr>
      <w:r>
        <w:rPr>
          <w:rFonts w:ascii="Arial" w:cs="Arial" w:eastAsia="Arial" w:hAnsi="Arial"/>
          <w:color w:val="1A1A1A"/>
          <w:sz w:val="20"/>
          <w:szCs w:val="20"/>
        </w:rPr>
        <w:t xml:space="preserve">El límite de crédito podrá ajustarse previa notificación de Going con [15] Días Hábiles de anticipación, en función del comportamiento de pago del Cliente.</w:t>
      </w:r>
    </w:p>
    <w:p>
      <w:pPr>
        <w:pStyle w:val="Heading2"/>
        <w:spacing w:after="120" w:before="280"/>
      </w:pPr>
      <w:r>
        <w:rPr>
          <w:rFonts w:ascii="Arial" w:cs="Arial" w:eastAsia="Arial" w:hAnsi="Arial"/>
          <w:b/>
          <w:bCs/>
          <w:color w:val="1E3A5F"/>
          <w:sz w:val="26"/>
          <w:szCs w:val="26"/>
        </w:rPr>
        <w:t xml:space="preserve">3.4 Plazo y Condiciones de Pago</w:t>
      </w:r>
    </w:p>
    <w:p>
      <w:pPr>
        <w:spacing w:after="120" w:before="60"/>
        <w:jc w:val="both"/>
      </w:pPr>
      <w:r>
        <w:rPr>
          <w:rFonts w:ascii="Arial" w:cs="Arial" w:eastAsia="Arial" w:hAnsi="Arial"/>
          <w:color w:val="1A1A1A"/>
          <w:sz w:val="20"/>
          <w:szCs w:val="20"/>
        </w:rPr>
        <w:t xml:space="preserve">Las facturas emitidas por Going serán pagaderas dentro de los 40 días calendario siguientes a la fecha de emisión. El pago deberá realizarse mediante:</w:t>
      </w:r>
    </w:p>
    <w:p>
      <w:pPr>
        <w:pStyle w:val="ListParagraph"/>
        <w:numPr>
          <w:ilvl w:val="0"/>
          <w:numId w:val="2"/>
        </w:numPr>
        <w:spacing w:after="40" w:before="40"/>
      </w:pPr>
      <w:r>
        <w:rPr>
          <w:rFonts w:ascii="Arial" w:cs="Arial" w:eastAsia="Arial" w:hAnsi="Arial"/>
          <w:color w:val="1A1A1A"/>
          <w:sz w:val="20"/>
          <w:szCs w:val="20"/>
        </w:rPr>
        <w:t xml:space="preserve">Transferencia bancaria a la cuenta designada por Going.</w:t>
      </w:r>
    </w:p>
    <w:p>
      <w:pPr>
        <w:pStyle w:val="ListParagraph"/>
        <w:numPr>
          <w:ilvl w:val="0"/>
          <w:numId w:val="2"/>
        </w:numPr>
        <w:spacing w:after="40" w:before="40"/>
      </w:pPr>
      <w:r>
        <w:rPr>
          <w:rFonts w:ascii="Arial" w:cs="Arial" w:eastAsia="Arial" w:hAnsi="Arial"/>
          <w:color w:val="1A1A1A"/>
          <w:sz w:val="20"/>
          <w:szCs w:val="20"/>
        </w:rPr>
        <w:t xml:space="preserve">Débito automático autorizado.</w:t>
      </w:r>
    </w:p>
    <w:p>
      <w:pPr>
        <w:pStyle w:val="ListParagraph"/>
        <w:numPr>
          <w:ilvl w:val="0"/>
          <w:numId w:val="2"/>
        </w:numPr>
        <w:spacing w:after="40" w:before="40"/>
      </w:pPr>
      <w:r>
        <w:rPr>
          <w:rFonts w:ascii="Arial" w:cs="Arial" w:eastAsia="Arial" w:hAnsi="Arial"/>
          <w:color w:val="1A1A1A"/>
          <w:sz w:val="20"/>
          <w:szCs w:val="20"/>
        </w:rPr>
        <w:t xml:space="default"/>
      </w:r>
    </w:p>
    <w:p>
      <w:pPr>
        <w:spacing w:after="120" w:before="60"/>
        <w:jc w:val="both"/>
      </w:pPr>
      <w:r>
        <w:rPr>
          <w:rFonts w:ascii="Arial" w:cs="Arial" w:eastAsia="Arial" w:hAnsi="Arial"/>
          <w:color w:val="1A1A1A"/>
          <w:sz w:val="20"/>
          <w:szCs w:val="20"/>
        </w:rPr>
        <w:t xml:space="preserve">En caso de mora, se generarán intereses de </w:t>
      </w:r>
    </w:p>
    <w:p>
      <w:pPr>
        <w:spacing w:after="120" w:before="60"/>
        <w:jc w:val="both"/>
      </w:pPr>
      <w:r>
        <w:rPr>
          <w:rFonts w:ascii="Arial" w:cs="Arial" w:eastAsia="Arial" w:hAnsi="Arial"/>
          <w:b/>
          <w:bCs/>
          <w:color w:val="CC0000"/>
          <w:sz w:val="20"/>
          <w:szCs w:val="20"/>
        </w:rPr>
        <w:t xml:space="preserve">[X% mensual]</w:t>
      </w:r>
      <w:r>
        <w:rPr>
          <w:rFonts w:ascii="Arial" w:cs="Arial" w:eastAsia="Arial" w:hAnsi="Arial"/>
          <w:color w:val="1A1A1A"/>
          <w:sz w:val="20"/>
          <w:szCs w:val="20"/>
        </w:rPr>
        <w:t xml:space="preserve"> sobre el saldo vencido, calculados desde el día siguiente al vencimiento hasta la fecha efectiva de pago.</w:t>
      </w:r>
    </w:p>
    <w:p>
      <w:pPr>
        <w:pStyle w:val="Heading2"/>
        <w:spacing w:after="120" w:before="280"/>
      </w:pPr>
      <w:r>
        <w:rPr>
          <w:rFonts w:ascii="Arial" w:cs="Arial" w:eastAsia="Arial" w:hAnsi="Arial"/>
          <w:b/>
          <w:bCs/>
          <w:color w:val="1E3A5F"/>
          <w:sz w:val="26"/>
          <w:szCs w:val="26"/>
        </w:rPr>
        <w:t xml:space="preserve">3.5 Flujo de Aprobaciones</w:t>
      </w:r>
    </w:p>
    <w:p>
      <w:pPr>
        <w:spacing w:after="120" w:before="60"/>
        <w:jc w:val="both"/>
      </w:pPr>
      <w:r>
        <w:rPr>
          <w:rFonts w:ascii="Arial" w:cs="Arial" w:eastAsia="Arial" w:hAnsi="Arial"/>
          <w:color w:val="1A1A1A"/>
          <w:sz w:val="20"/>
          <w:szCs w:val="20"/>
        </w:rPr>
        <w:t xml:space="preserve">Todo Booking que supere el monto de </w:t>
      </w:r>
    </w:p>
    <w:p>
      <w:pPr>
        <w:spacing w:after="120" w:before="60"/>
        <w:jc w:val="both"/>
      </w:pPr>
      <w:r>
        <w:rPr>
          <w:rFonts w:ascii="Arial" w:cs="Arial" w:eastAsia="Arial" w:hAnsi="Arial"/>
          <w:color w:val="1A1A1A"/>
          <w:sz w:val="20"/>
          <w:szCs w:val="20"/>
        </w:rPr>
        <w:t xml:space="preserve">USD </w:t>
      </w:r>
      <w:r>
        <w:rPr>
          <w:rFonts w:ascii="Arial" w:cs="Arial" w:eastAsia="Arial" w:hAnsi="Arial"/>
          <w:b/>
          <w:bCs/>
          <w:color w:val="CC0000"/>
          <w:sz w:val="20"/>
          <w:szCs w:val="20"/>
        </w:rPr>
        <w:t xml:space="preserve">[MONTO UMBRAL]</w:t>
      </w:r>
      <w:r>
        <w:rPr>
          <w:rFonts w:ascii="Arial" w:cs="Arial" w:eastAsia="Arial" w:hAnsi="Arial"/>
          <w:color w:val="1A1A1A"/>
          <w:sz w:val="20"/>
          <w:szCs w:val="20"/>
        </w:rPr>
        <w:t xml:space="preserve"> requerirá aprobación previa de al menos un Aprobador designado. El Cliente podrá configurar flujos de aprobación multinivel (hasta [N] niveles) desde su panel de Configuración.</w:t>
      </w:r>
    </w:p>
    <w:p>
      <w:pPr>
        <w:spacing w:after="120" w:before="60"/>
        <w:jc w:val="both"/>
      </w:pPr>
      <w:r>
        <w:rPr>
          <w:rFonts w:ascii="Arial" w:cs="Arial" w:eastAsia="Arial" w:hAnsi="Arial"/>
          <w:color w:val="1A1A1A"/>
          <w:sz w:val="20"/>
          <w:szCs w:val="20"/>
        </w:rPr>
        <w:t xml:space="preserve">Los Bookings pendientes de aprobación por más de [48] horas serán cancelados automáticamente sin cargo para el Cliente.</w:t>
      </w:r>
    </w:p>
    <w:p>
      <w:pPr>
        <w:pStyle w:val="Heading2"/>
        <w:spacing w:after="120" w:before="280"/>
      </w:pPr>
      <w:r>
        <w:rPr>
          <w:rFonts w:ascii="Arial" w:cs="Arial" w:eastAsia="Arial" w:hAnsi="Arial"/>
          <w:b/>
          <w:bCs/>
          <w:color w:val="1E3A5F"/>
          <w:sz w:val="26"/>
          <w:szCs w:val="26"/>
        </w:rPr>
        <w:t xml:space="preserve">3.6 Wallet Consolidada y Límites por Departamento</w:t>
      </w:r>
    </w:p>
    <w:p>
      <w:pPr>
        <w:spacing w:after="120" w:before="60"/>
        <w:jc w:val="both"/>
      </w:pPr>
      <w:r>
        <w:rPr>
          <w:rFonts w:ascii="Arial" w:cs="Arial" w:eastAsia="Arial" w:hAnsi="Arial"/>
          <w:color w:val="1A1A1A"/>
          <w:sz w:val="20"/>
          <w:szCs w:val="20"/>
        </w:rPr>
        <w:t xml:space="preserve">El Cliente podrá asignar sub-wallets a cada departamento o centro de costo, con límites mensuales individuales. El consumo se consolidará en una única factura mensual dirigida a la empresa.</w:t>
      </w:r>
    </w:p>
    <w:p>
      <w:pPr>
        <w:pStyle w:val="Heading2"/>
        <w:spacing w:after="120" w:before="280"/>
      </w:pPr>
      <w:r>
        <w:rPr>
          <w:rFonts w:ascii="Arial" w:cs="Arial" w:eastAsia="Arial" w:hAnsi="Arial"/>
          <w:b/>
          <w:bCs/>
          <w:color w:val="1E3A5F"/>
          <w:sz w:val="26"/>
          <w:szCs w:val="26"/>
        </w:rPr>
        <w:t xml:space="preserve">3.7 Obligaciones del Cliente</w:t>
      </w:r>
    </w:p>
    <w:p>
      <w:pPr>
        <w:pStyle w:val="ListParagraph"/>
        <w:numPr>
          <w:ilvl w:val="0"/>
          <w:numId w:val="3"/>
        </w:numPr>
        <w:spacing w:after="40" w:before="40"/>
      </w:pPr>
      <w:r>
        <w:rPr>
          <w:rFonts w:ascii="Arial" w:cs="Arial" w:eastAsia="Arial" w:hAnsi="Arial"/>
          <w:color w:val="1A1A1A"/>
          <w:sz w:val="20"/>
          <w:szCs w:val="20"/>
        </w:rPr>
        <w:t xml:space="preserve">Designar al menos un Administrador y un Aprobador dentro de los [5] Días Hábiles siguientes a la activación de la cuenta.</w:t>
      </w:r>
    </w:p>
    <w:p>
      <w:pPr>
        <w:pStyle w:val="ListParagraph"/>
        <w:numPr>
          <w:ilvl w:val="0"/>
          <w:numId w:val="3"/>
        </w:numPr>
        <w:spacing w:after="40" w:before="40"/>
      </w:pPr>
      <w:r>
        <w:rPr>
          <w:rFonts w:ascii="Arial" w:cs="Arial" w:eastAsia="Arial" w:hAnsi="Arial"/>
          <w:color w:val="1A1A1A"/>
          <w:sz w:val="20"/>
          <w:szCs w:val="20"/>
        </w:rPr>
        <w:t xml:space="preserve">Mantener actualizada la información de contacto y datos de facturación.</w:t>
      </w:r>
    </w:p>
    <w:p>
      <w:pPr>
        <w:pStyle w:val="ListParagraph"/>
        <w:numPr>
          <w:ilvl w:val="0"/>
          <w:numId w:val="3"/>
        </w:numPr>
        <w:spacing w:after="40" w:before="40"/>
      </w:pPr>
      <w:r>
        <w:rPr>
          <w:rFonts w:ascii="Arial" w:cs="Arial" w:eastAsia="Arial" w:hAnsi="Arial"/>
          <w:color w:val="1A1A1A"/>
          <w:sz w:val="20"/>
          <w:szCs w:val="20"/>
        </w:rPr>
        <w:t xml:space="preserve">Pagar las facturas dentro del plazo establecido.</w:t>
      </w:r>
    </w:p>
    <w:p>
      <w:pPr>
        <w:pStyle w:val="ListParagraph"/>
        <w:numPr>
          <w:ilvl w:val="0"/>
          <w:numId w:val="3"/>
        </w:numPr>
        <w:spacing w:after="40" w:before="40"/>
      </w:pPr>
      <w:r>
        <w:rPr>
          <w:rFonts w:ascii="Arial" w:cs="Arial" w:eastAsia="Arial" w:hAnsi="Arial"/>
          <w:color w:val="1A1A1A"/>
          <w:sz w:val="20"/>
          <w:szCs w:val="20"/>
        </w:rPr>
        <w:t xml:space="preserve">Notificar a Going cualquier cambio en su situación crediticia o financiera que pudiera afectar su capacidad de pago.</w:t>
      </w:r>
    </w:p>
    <w:p>
      <w:pPr>
        <w:pStyle w:val="ListParagraph"/>
        <w:numPr>
          <w:ilvl w:val="0"/>
          <w:numId w:val="3"/>
        </w:numPr>
        <w:spacing w:after="40" w:before="40"/>
      </w:pPr>
      <w:r>
        <w:rPr>
          <w:rFonts w:ascii="Arial" w:cs="Arial" w:eastAsia="Arial" w:hAnsi="Arial"/>
          <w:color w:val="1A1A1A"/>
          <w:sz w:val="20"/>
          <w:szCs w:val="20"/>
        </w:rPr>
        <w:t xml:space="preserve">Custodiar las credenciales de acceso de sus usuarios y reportar de inmediato cualquier uso no autorizado.</w:t>
      </w:r>
    </w:p>
    <w:p>
      <w:pPr>
        <w:pStyle w:val="Heading2"/>
        <w:spacing w:after="120" w:before="280"/>
      </w:pPr>
      <w:r>
        <w:rPr>
          <w:rFonts w:ascii="Arial" w:cs="Arial" w:eastAsia="Arial" w:hAnsi="Arial"/>
          <w:b/>
          <w:bCs/>
          <w:color w:val="1E3A5F"/>
          <w:sz w:val="26"/>
          <w:szCs w:val="26"/>
        </w:rPr>
        <w:t xml:space="preserve">3.8 Causales de Suspensión</w:t>
      </w:r>
    </w:p>
    <w:p>
      <w:pPr>
        <w:spacing w:after="120" w:before="60"/>
        <w:jc w:val="both"/>
      </w:pPr>
      <w:r>
        <w:rPr>
          <w:rFonts w:ascii="Arial" w:cs="Arial" w:eastAsia="Arial" w:hAnsi="Arial"/>
          <w:color w:val="1A1A1A"/>
          <w:sz w:val="20"/>
          <w:szCs w:val="20"/>
        </w:rPr>
        <w:t xml:space="preserve">Going podrá suspender la Cuenta sin perjuicio de exigir el pago de saldos adeudados, en los siguientes casos:</w:t>
      </w:r>
    </w:p>
    <w:p>
      <w:pPr>
        <w:pStyle w:val="ListParagraph"/>
        <w:numPr>
          <w:ilvl w:val="0"/>
          <w:numId w:val="2"/>
        </w:numPr>
        <w:spacing w:after="40" w:before="40"/>
      </w:pPr>
      <w:r>
        <w:rPr>
          <w:rFonts w:ascii="Arial" w:cs="Arial" w:eastAsia="Arial" w:hAnsi="Arial"/>
          <w:color w:val="1A1A1A"/>
          <w:sz w:val="20"/>
          <w:szCs w:val="20"/>
        </w:rPr>
        <w:t xml:space="preserve">Mora en el pago de facturas por más de [15] días calendario.</w:t>
      </w:r>
    </w:p>
    <w:p>
      <w:pPr>
        <w:pStyle w:val="ListParagraph"/>
        <w:numPr>
          <w:ilvl w:val="0"/>
          <w:numId w:val="2"/>
        </w:numPr>
        <w:spacing w:after="40" w:before="40"/>
      </w:pPr>
      <w:r>
        <w:rPr>
          <w:rFonts w:ascii="Arial" w:cs="Arial" w:eastAsia="Arial" w:hAnsi="Arial"/>
          <w:color w:val="1A1A1A"/>
          <w:sz w:val="20"/>
          <w:szCs w:val="20"/>
        </w:rPr>
        <w:t xml:space="preserve">Superación del límite de Crédito Corporativo sin regularización en [5] Días Hábiles.</w:t>
      </w:r>
    </w:p>
    <w:p>
      <w:pPr>
        <w:pStyle w:val="ListParagraph"/>
        <w:numPr>
          <w:ilvl w:val="0"/>
          <w:numId w:val="2"/>
        </w:numPr>
        <w:spacing w:after="40" w:before="40"/>
      </w:pPr>
      <w:r>
        <w:rPr>
          <w:rFonts w:ascii="Arial" w:cs="Arial" w:eastAsia="Arial" w:hAnsi="Arial"/>
          <w:color w:val="1A1A1A"/>
          <w:sz w:val="20"/>
          <w:szCs w:val="20"/>
        </w:rPr>
        <w:t xml:space="preserve">Incumplimiento grave o reiterado de las presentes Condiciones.</w:t>
      </w:r>
    </w:p>
    <w:p>
      <w:pPr>
        <w:pStyle w:val="Heading2"/>
        <w:spacing w:after="120" w:before="280"/>
      </w:pPr>
      <w:r>
        <w:rPr>
          <w:rFonts w:ascii="Arial" w:cs="Arial" w:eastAsia="Arial" w:hAnsi="Arial"/>
          <w:b/>
          <w:bCs/>
          <w:color w:val="1E3A5F"/>
          <w:sz w:val="26"/>
          <w:szCs w:val="26"/>
        </w:rPr>
        <w:t xml:space="preserve">3.9 Duración y Terminación</w:t>
      </w:r>
    </w:p>
    <w:p>
      <w:pPr>
        <w:spacing w:after="120" w:before="60"/>
        <w:jc w:val="both"/>
      </w:pPr>
      <w:r>
        <w:rPr>
          <w:rFonts w:ascii="Arial" w:cs="Arial" w:eastAsia="Arial" w:hAnsi="Arial"/>
          <w:color w:val="1A1A1A"/>
          <w:sz w:val="20"/>
          <w:szCs w:val="20"/>
        </w:rPr>
        <w:t xml:space="preserve">El contrato tendrá una duración de 12 meses calendario contados desde la fecha de activación, y se renovará automáticamente por períodos iguales salvo que cualquiera de las partes notifique su intención de no renovar con al menos [30] días de anticipación al vencimiento. La terminación anticipada por el Cliente generará una penalidad equivalente a </w:t>
      </w:r>
    </w:p>
    <w:p>
      <w:pPr>
        <w:spacing w:after="120" w:before="60"/>
        <w:jc w:val="both"/>
      </w:pPr>
      <w:r>
        <w:rPr>
          <w:rFonts w:ascii="Arial" w:cs="Arial" w:eastAsia="Arial" w:hAnsi="Arial"/>
          <w:b/>
          <w:bCs/>
          <w:color w:val="CC0000"/>
          <w:sz w:val="20"/>
          <w:szCs w:val="20"/>
        </w:rPr>
        <w:t xml:space="preserve">[[X] meses]</w:t>
      </w:r>
      <w:r>
        <w:rPr>
          <w:rFonts w:ascii="Arial" w:cs="Arial" w:eastAsia="Arial" w:hAnsi="Arial"/>
          <w:color w:val="1A1A1A"/>
          <w:sz w:val="20"/>
          <w:szCs w:val="20"/>
        </w:rPr>
        <w:t xml:space="preserve"> de facturación promedio.</w:t>
      </w:r>
    </w:p>
    <w:p>
      <w:pPr>
        <w:pStyle w:val="Heading1"/>
        <w:pageBreakBefore/>
        <w:spacing w:after="200" w:before="0"/>
      </w:pPr>
      <w:r>
        <w:rPr>
          <w:rFonts w:ascii="Arial" w:cs="Arial" w:eastAsia="Arial" w:hAnsi="Arial"/>
          <w:b/>
          <w:bCs/>
          <w:color w:val="1E3A5F"/>
          <w:sz w:val="32"/>
          <w:szCs w:val="32"/>
        </w:rPr>
        <w:t xml:space="preserve">4. Condiciones para Cuenta Negocio / PyME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Resumen de Condiciones — Negocio / PyME</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Modalidad de pago</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Pago por viaje — inmediato</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Crédito</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No aplica</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Aprobaciones</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No requeridas</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Métodos de pago</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Tarjeta de crédito/débito, transferencia, efectivo</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Factura</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Emitida al momento de completar el Viaje</w:t>
            </w:r>
          </w:p>
        </w:tc>
      </w:tr>
    </w:tbl>
    <w:p>
      <w:pPr>
        <w:spacing w:after="60" w:before="60"/>
      </w:pPr>
      <w:r>
        <w:t xml:space="preserve"/>
      </w:r>
    </w:p>
    <w:p>
      <w:pPr>
        <w:pStyle w:val="Heading2"/>
        <w:spacing w:after="120" w:before="280"/>
      </w:pPr>
      <w:r>
        <w:rPr>
          <w:rFonts w:ascii="Arial" w:cs="Arial" w:eastAsia="Arial" w:hAnsi="Arial"/>
          <w:b/>
          <w:bCs/>
          <w:color w:val="1E3A5F"/>
          <w:sz w:val="26"/>
          <w:szCs w:val="26"/>
        </w:rPr>
        <w:t xml:space="preserve">4.1 Objeto</w:t>
      </w:r>
    </w:p>
    <w:p>
      <w:pPr>
        <w:spacing w:after="120" w:before="60"/>
        <w:jc w:val="both"/>
      </w:pPr>
      <w:r>
        <w:rPr>
          <w:rFonts w:ascii="Arial" w:cs="Arial" w:eastAsia="Arial" w:hAnsi="Arial"/>
          <w:color w:val="1A1A1A"/>
          <w:sz w:val="20"/>
          <w:szCs w:val="20"/>
        </w:rPr>
        <w:t xml:space="preserve">La Cuenta Negocio / PyME está diseñada para pequeñas y medianas empresas que requieren movilidad corporativa con pago inmediato por cada servicio contratado, sin línea de crédito ni flujos de aprobación.</w:t>
      </w:r>
    </w:p>
    <w:p>
      <w:pPr>
        <w:pStyle w:val="Heading2"/>
        <w:spacing w:after="120" w:before="280"/>
      </w:pPr>
      <w:r>
        <w:rPr>
          <w:rFonts w:ascii="Arial" w:cs="Arial" w:eastAsia="Arial" w:hAnsi="Arial"/>
          <w:b/>
          <w:bCs/>
          <w:color w:val="1E3A5F"/>
          <w:sz w:val="26"/>
          <w:szCs w:val="26"/>
        </w:rPr>
        <w:t xml:space="preserve">4.2 Elegibilidad</w:t>
      </w:r>
    </w:p>
    <w:p>
      <w:pPr>
        <w:spacing w:after="120" w:before="60"/>
        <w:jc w:val="both"/>
      </w:pPr>
      <w:r>
        <w:rPr>
          <w:rFonts w:ascii="Arial" w:cs="Arial" w:eastAsia="Arial" w:hAnsi="Arial"/>
          <w:color w:val="1A1A1A"/>
          <w:sz w:val="20"/>
          <w:szCs w:val="20"/>
        </w:rPr>
        <w:t xml:space="preserve">Podrán acceder las personas naturales con actividad empresarial y las personas jurídicas cuya facturación anual sea inferior a </w:t>
      </w:r>
    </w:p>
    <w:p>
      <w:pPr>
        <w:spacing w:after="120" w:before="60"/>
        <w:jc w:val="both"/>
      </w:pPr>
      <w:r>
        <w:rPr>
          <w:rFonts w:ascii="Arial" w:cs="Arial" w:eastAsia="Arial" w:hAnsi="Arial"/>
          <w:color w:val="1A1A1A"/>
          <w:sz w:val="20"/>
          <w:szCs w:val="20"/>
        </w:rPr>
        <w:t xml:space="preserve">USD </w:t>
      </w:r>
      <w:r>
        <w:rPr>
          <w:rFonts w:ascii="Arial" w:cs="Arial" w:eastAsia="Arial" w:hAnsi="Arial"/>
          <w:b/>
          <w:bCs/>
          <w:color w:val="CC0000"/>
          <w:sz w:val="20"/>
          <w:szCs w:val="20"/>
        </w:rPr>
        <w:t xml:space="preserve">[MONTO MÁXIMO PYME]</w:t>
      </w:r>
      <w:r>
        <w:rPr>
          <w:rFonts w:ascii="Arial" w:cs="Arial" w:eastAsia="Arial" w:hAnsi="Arial"/>
          <w:color w:val="1A1A1A"/>
          <w:sz w:val="20"/>
          <w:szCs w:val="20"/>
        </w:rPr>
        <w:t xml:space="preserve"> o cuyo volumen de Viajes estimado sea inferior a </w:t>
      </w:r>
      <w:r>
        <w:rPr>
          <w:rFonts w:ascii="Arial" w:cs="Arial" w:eastAsia="Arial" w:hAnsi="Arial"/>
          <w:b/>
          <w:bCs/>
          <w:color w:val="CC0000"/>
          <w:sz w:val="20"/>
          <w:szCs w:val="20"/>
        </w:rPr>
        <w:t xml:space="preserve">[[N] Bookings mensuales]</w:t>
      </w:r>
      <w:r>
        <w:rPr>
          <w:rFonts w:ascii="Arial" w:cs="Arial" w:eastAsia="Arial" w:hAnsi="Arial"/>
          <w:color w:val="1A1A1A"/>
          <w:sz w:val="20"/>
          <w:szCs w:val="20"/>
        </w:rPr>
        <w:t xml:space="preserve">.</w:t>
      </w:r>
    </w:p>
    <w:p>
      <w:pPr>
        <w:pStyle w:val="Heading2"/>
        <w:spacing w:after="120" w:before="280"/>
      </w:pPr>
      <w:r>
        <w:rPr>
          <w:rFonts w:ascii="Arial" w:cs="Arial" w:eastAsia="Arial" w:hAnsi="Arial"/>
          <w:b/>
          <w:bCs/>
          <w:color w:val="1E3A5F"/>
          <w:sz w:val="26"/>
          <w:szCs w:val="26"/>
        </w:rPr>
        <w:t xml:space="preserve">4.3 Modalidad de Pago</w:t>
      </w:r>
    </w:p>
    <w:p>
      <w:pPr>
        <w:spacing w:after="120" w:before="60"/>
        <w:jc w:val="both"/>
      </w:pPr>
      <w:r>
        <w:rPr>
          <w:rFonts w:ascii="Arial" w:cs="Arial" w:eastAsia="Arial" w:hAnsi="Arial"/>
          <w:color w:val="1A1A1A"/>
          <w:sz w:val="20"/>
          <w:szCs w:val="20"/>
        </w:rPr>
        <w:t xml:space="preserve">Cada Booking será cobrado de forma inmediata al momento de su confirmación mediante los siguientes medios:</w:t>
      </w:r>
    </w:p>
    <w:p>
      <w:pPr>
        <w:pStyle w:val="ListParagraph"/>
        <w:numPr>
          <w:ilvl w:val="0"/>
          <w:numId w:val="2"/>
        </w:numPr>
        <w:spacing w:after="40" w:before="40"/>
      </w:pPr>
      <w:r>
        <w:rPr>
          <w:rFonts w:ascii="Arial" w:cs="Arial" w:eastAsia="Arial" w:hAnsi="Arial"/>
          <w:color w:val="1A1A1A"/>
          <w:sz w:val="20"/>
          <w:szCs w:val="20"/>
        </w:rPr>
        <w:t xml:space="preserve">Tarjeta de crédito o débito (Visa, Mastercard, American Express).</w:t>
      </w:r>
    </w:p>
    <w:p>
      <w:pPr>
        <w:pStyle w:val="ListParagraph"/>
        <w:numPr>
          <w:ilvl w:val="0"/>
          <w:numId w:val="2"/>
        </w:numPr>
        <w:spacing w:after="40" w:before="40"/>
      </w:pPr>
      <w:r>
        <w:rPr>
          <w:rFonts w:ascii="Arial" w:cs="Arial" w:eastAsia="Arial" w:hAnsi="Arial"/>
          <w:color w:val="1A1A1A"/>
          <w:sz w:val="20"/>
          <w:szCs w:val="20"/>
        </w:rPr>
        <w:t xml:space="preserve">Transferencia bancaria anticipada.</w:t>
      </w:r>
    </w:p>
    <w:p>
      <w:pPr>
        <w:pStyle w:val="ListParagraph"/>
        <w:numPr>
          <w:ilvl w:val="0"/>
          <w:numId w:val="2"/>
        </w:numPr>
        <w:spacing w:after="40" w:before="40"/>
      </w:pPr>
      <w:r>
        <w:rPr>
          <w:rFonts w:ascii="Arial" w:cs="Arial" w:eastAsia="Arial" w:hAnsi="Arial"/>
          <w:color w:val="1A1A1A"/>
          <w:sz w:val="20"/>
          <w:szCs w:val="20"/>
        </w:rPr>
        <w:t xml:space="default"/>
      </w:r>
    </w:p>
    <w:p>
      <w:pPr>
        <w:spacing w:after="120" w:before="60"/>
        <w:jc w:val="both"/>
      </w:pPr>
      <w:r>
        <w:rPr>
          <w:rFonts w:ascii="Arial" w:cs="Arial" w:eastAsia="Arial" w:hAnsi="Arial"/>
          <w:color w:val="1A1A1A"/>
          <w:sz w:val="20"/>
          <w:szCs w:val="20"/>
        </w:rPr>
        <w:t xml:space="preserve">No existe período de crédito. El Viaje se confirmará únicamente una vez procesado el pago satisfactoriamente.</w:t>
      </w:r>
    </w:p>
    <w:p>
      <w:pPr>
        <w:pStyle w:val="Heading2"/>
        <w:spacing w:after="120" w:before="280"/>
      </w:pPr>
      <w:r>
        <w:rPr>
          <w:rFonts w:ascii="Arial" w:cs="Arial" w:eastAsia="Arial" w:hAnsi="Arial"/>
          <w:b/>
          <w:bCs/>
          <w:color w:val="1E3A5F"/>
          <w:sz w:val="26"/>
          <w:szCs w:val="26"/>
        </w:rPr>
        <w:t xml:space="preserve">4.4 Facturación</w:t>
      </w:r>
    </w:p>
    <w:p>
      <w:pPr>
        <w:spacing w:after="120" w:before="60"/>
        <w:jc w:val="both"/>
      </w:pPr>
      <w:r>
        <w:rPr>
          <w:rFonts w:ascii="Arial" w:cs="Arial" w:eastAsia="Arial" w:hAnsi="Arial"/>
          <w:color w:val="1A1A1A"/>
          <w:sz w:val="20"/>
          <w:szCs w:val="20"/>
        </w:rPr>
        <w:t xml:space="preserve">Going emitirá una factura electrónica por cada Booking completado, a nombre del RUC registrado en la cuenta. Las facturas estarán disponibles en el panel de Facturación de la Plataforma dentro de las [24] horas siguientes al servicio.</w:t>
      </w:r>
    </w:p>
    <w:p>
      <w:pPr>
        <w:pStyle w:val="Heading2"/>
        <w:spacing w:after="120" w:before="280"/>
      </w:pPr>
      <w:r>
        <w:rPr>
          <w:rFonts w:ascii="Arial" w:cs="Arial" w:eastAsia="Arial" w:hAnsi="Arial"/>
          <w:b/>
          <w:bCs/>
          <w:color w:val="1E3A5F"/>
          <w:sz w:val="26"/>
          <w:szCs w:val="26"/>
        </w:rPr>
        <w:t xml:space="preserve">4.5 Cancelaciones</w:t>
      </w:r>
    </w:p>
    <w:p>
      <w:pPr>
        <w:spacing w:after="120" w:before="60"/>
        <w:jc w:val="both"/>
      </w:pPr>
      <w:r>
        <w:rPr>
          <w:rFonts w:ascii="Arial" w:cs="Arial" w:eastAsia="Arial" w:hAnsi="Arial"/>
          <w:color w:val="1A1A1A"/>
          <w:sz w:val="20"/>
          <w:szCs w:val="20"/>
        </w:rPr>
        <w:t xml:space="preserve">Aplica la política general de cancelaciones descrita en la Sección 2.4. Las cancelaciones dentro del plazo sin penalidad generarán un reembolso al mismo medio de pago original dentro de [3] a [7] Días Hábiles, según la entidad financiera.</w:t>
      </w:r>
    </w:p>
    <w:p>
      <w:pPr>
        <w:pStyle w:val="Heading2"/>
        <w:spacing w:after="120" w:before="280"/>
      </w:pPr>
      <w:r>
        <w:rPr>
          <w:rFonts w:ascii="Arial" w:cs="Arial" w:eastAsia="Arial" w:hAnsi="Arial"/>
          <w:b/>
          <w:bCs/>
          <w:color w:val="1E3A5F"/>
          <w:sz w:val="26"/>
          <w:szCs w:val="26"/>
        </w:rPr>
        <w:t xml:space="preserve">4.6 Límites de Uso</w:t>
      </w:r>
    </w:p>
    <w:p>
      <w:pPr>
        <w:spacing w:after="120" w:before="60"/>
        <w:jc w:val="both"/>
      </w:pPr>
      <w:r>
        <w:rPr>
          <w:rFonts w:ascii="Arial" w:cs="Arial" w:eastAsia="Arial" w:hAnsi="Arial"/>
          <w:color w:val="1A1A1A"/>
          <w:sz w:val="20"/>
          <w:szCs w:val="20"/>
        </w:rPr>
        <w:t xml:space="preserve">Going podrá establecer límites en el número de Bookings diarios o mensuales para cuentas PyME a fin de garantizar la calidad del servicio. Dichos límites serán informados al Cliente al momento de la activación y podrán modificarse previa notificación.</w:t>
      </w:r>
    </w:p>
    <w:p>
      <w:pPr>
        <w:pStyle w:val="Heading2"/>
        <w:spacing w:after="120" w:before="280"/>
      </w:pPr>
      <w:r>
        <w:rPr>
          <w:rFonts w:ascii="Arial" w:cs="Arial" w:eastAsia="Arial" w:hAnsi="Arial"/>
          <w:b/>
          <w:bCs/>
          <w:color w:val="1E3A5F"/>
          <w:sz w:val="26"/>
          <w:szCs w:val="26"/>
        </w:rPr>
        <w:t xml:space="preserve">4.7 Duración</w:t>
      </w:r>
    </w:p>
    <w:p>
      <w:pPr>
        <w:spacing w:after="120" w:before="60"/>
        <w:jc w:val="both"/>
      </w:pPr>
      <w:r>
        <w:rPr>
          <w:rFonts w:ascii="Arial" w:cs="Arial" w:eastAsia="Arial" w:hAnsi="Arial"/>
          <w:color w:val="1A1A1A"/>
          <w:sz w:val="20"/>
          <w:szCs w:val="20"/>
        </w:rPr>
        <w:t xml:space="preserve">La relación contractual bajo esta modalidad no tiene un plazo mínimo de permanencia. El Cliente podrá cancelar su cuenta en cualquier momento sin penalidad, siempre que no existan Bookings pendientes de ejecución o pagos en disputa.</w:t>
      </w:r>
    </w:p>
    <w:p>
      <w:pPr>
        <w:pStyle w:val="Heading1"/>
        <w:pageBreakBefore/>
        <w:spacing w:after="200" w:before="0"/>
      </w:pPr>
      <w:r>
        <w:rPr>
          <w:rFonts w:ascii="Arial" w:cs="Arial" w:eastAsia="Arial" w:hAnsi="Arial"/>
          <w:b/>
          <w:bCs/>
          <w:color w:val="1E3A5F"/>
          <w:sz w:val="32"/>
          <w:szCs w:val="32"/>
        </w:rPr>
        <w:t xml:space="preserve">5. Condiciones para Cuenta Agencia de Viajes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Resumen de Condiciones — Agencia de Viajes</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Comisión</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10% sobre el valor neto de cada Viaje gestionado</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Liquidación</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15 días calendario desde la fecha de ejecución del Viaje</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Reservas</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A nombre propio o de clientes terceros</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Crédito</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No aplica</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60"/>
              <w:bottom w:type="dxa" w:w="80"/>
              <w:right w:type="dxa" w:w="160"/>
            </w:tcMar>
          </w:tcPr>
          <w:p>
            <w:r>
              <w:rPr>
                <w:rFonts w:ascii="Arial" w:cs="Arial" w:eastAsia="Arial" w:hAnsi="Arial"/>
                <w:b/>
                <w:bCs/>
                <w:color w:val="1A1A1A"/>
                <w:sz w:val="18"/>
                <w:szCs w:val="18"/>
              </w:rPr>
              <w:t xml:space="preserve">Aprobaciones</w:t>
            </w:r>
          </w:p>
        </w:tc>
        <w:tc>
          <w:tcPr>
            <w:tcW w:type="dxa" w:w="6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No requeridas</w:t>
            </w:r>
          </w:p>
        </w:tc>
      </w:tr>
    </w:tbl>
    <w:p>
      <w:pPr>
        <w:spacing w:after="60" w:before="60"/>
      </w:pPr>
      <w:r>
        <w:t xml:space="preserve"/>
      </w:r>
    </w:p>
    <w:p>
      <w:pPr>
        <w:pStyle w:val="Heading2"/>
        <w:spacing w:after="120" w:before="280"/>
      </w:pPr>
      <w:r>
        <w:rPr>
          <w:rFonts w:ascii="Arial" w:cs="Arial" w:eastAsia="Arial" w:hAnsi="Arial"/>
          <w:b/>
          <w:bCs/>
          <w:color w:val="1E3A5F"/>
          <w:sz w:val="26"/>
          <w:szCs w:val="26"/>
        </w:rPr>
        <w:t xml:space="preserve">5.1 Objeto</w:t>
      </w:r>
    </w:p>
    <w:p>
      <w:pPr>
        <w:spacing w:after="120" w:before="60"/>
        <w:jc w:val="both"/>
      </w:pPr>
      <w:r>
        <w:rPr>
          <w:rFonts w:ascii="Arial" w:cs="Arial" w:eastAsia="Arial" w:hAnsi="Arial"/>
          <w:color w:val="1A1A1A"/>
          <w:sz w:val="20"/>
          <w:szCs w:val="20"/>
        </w:rPr>
        <w:t xml:space="preserve">La Cuenta Agencia de Viajes habilita a agencias de turismo y operadoras legalmente constituidas para gestionar reservas de Viajes a nombre de sus clientes, percibiendo una comisión sobre cada servicio intermediado.</w:t>
      </w:r>
    </w:p>
    <w:p>
      <w:pPr>
        <w:pStyle w:val="Heading2"/>
        <w:spacing w:after="120" w:before="280"/>
      </w:pPr>
      <w:r>
        <w:rPr>
          <w:rFonts w:ascii="Arial" w:cs="Arial" w:eastAsia="Arial" w:hAnsi="Arial"/>
          <w:b/>
          <w:bCs/>
          <w:color w:val="1E3A5F"/>
          <w:sz w:val="26"/>
          <w:szCs w:val="26"/>
        </w:rPr>
        <w:t xml:space="preserve">5.2 Requisitos de Elegibilidad</w:t>
      </w:r>
    </w:p>
    <w:p>
      <w:pPr>
        <w:spacing w:after="120" w:before="60"/>
        <w:jc w:val="both"/>
      </w:pPr>
      <w:r>
        <w:rPr>
          <w:rFonts w:ascii="Arial" w:cs="Arial" w:eastAsia="Arial" w:hAnsi="Arial"/>
          <w:color w:val="1A1A1A"/>
          <w:sz w:val="20"/>
          <w:szCs w:val="20"/>
        </w:rPr>
        <w:t xml:space="preserve">Podrán suscribir esta modalidad las personas jurídicas que cumplan todos los siguientes requisitos:</w:t>
      </w:r>
    </w:p>
    <w:p>
      <w:pPr>
        <w:pStyle w:val="ListParagraph"/>
        <w:numPr>
          <w:ilvl w:val="0"/>
          <w:numId w:val="2"/>
        </w:numPr>
        <w:spacing w:after="40" w:before="40"/>
      </w:pPr>
      <w:r>
        <w:rPr>
          <w:rFonts w:ascii="Arial" w:cs="Arial" w:eastAsia="Arial" w:hAnsi="Arial"/>
          <w:color w:val="1A1A1A"/>
          <w:sz w:val="20"/>
          <w:szCs w:val="20"/>
        </w:rPr>
        <w:t xml:space="preserve">Estar registradas como Agencia de Viajes ante el Ministerio de Turismo del Ecuador.</w:t>
      </w:r>
    </w:p>
    <w:p>
      <w:pPr>
        <w:pStyle w:val="ListParagraph"/>
        <w:numPr>
          <w:ilvl w:val="0"/>
          <w:numId w:val="2"/>
        </w:numPr>
        <w:spacing w:after="40" w:before="40"/>
      </w:pPr>
      <w:r>
        <w:rPr>
          <w:rFonts w:ascii="Arial" w:cs="Arial" w:eastAsia="Arial" w:hAnsi="Arial"/>
          <w:color w:val="1A1A1A"/>
          <w:sz w:val="20"/>
          <w:szCs w:val="20"/>
        </w:rPr>
        <w:t xml:space="preserve">Contar con RUC activo y al día en obligaciones tributarias con el SRI.</w:t>
      </w:r>
    </w:p>
    <w:p>
      <w:pPr>
        <w:pStyle w:val="ListParagraph"/>
        <w:numPr>
          <w:ilvl w:val="0"/>
          <w:numId w:val="2"/>
        </w:numPr>
        <w:spacing w:after="40" w:before="40"/>
      </w:pPr>
      <w:r>
        <w:rPr>
          <w:rFonts w:ascii="Arial" w:cs="Arial" w:eastAsia="Arial" w:hAnsi="Arial"/>
          <w:color w:val="1A1A1A"/>
          <w:sz w:val="20"/>
          <w:szCs w:val="20"/>
        </w:rPr>
        <w:t xml:space="preserve">Presentar copia del Registro de Turismo vigente y del RUC al momento del registro.</w:t>
      </w:r>
    </w:p>
    <w:p>
      <w:pPr>
        <w:pStyle w:val="ListParagraph"/>
        <w:numPr>
          <w:ilvl w:val="0"/>
          <w:numId w:val="2"/>
        </w:numPr>
        <w:spacing w:after="40" w:before="40"/>
      </w:pPr>
      <w:r>
        <w:rPr>
          <w:rFonts w:ascii="Arial" w:cs="Arial" w:eastAsia="Arial" w:hAnsi="Arial"/>
          <w:color w:val="1A1A1A"/>
          <w:sz w:val="20"/>
          <w:szCs w:val="20"/>
        </w:rPr>
        <w:t xml:space="default"/>
      </w:r>
    </w:p>
    <w:p>
      <w:pPr>
        <w:pStyle w:val="Heading2"/>
        <w:spacing w:after="120" w:before="280"/>
      </w:pPr>
      <w:r>
        <w:rPr>
          <w:rFonts w:ascii="Arial" w:cs="Arial" w:eastAsia="Arial" w:hAnsi="Arial"/>
          <w:b/>
          <w:bCs/>
          <w:color w:val="1E3A5F"/>
          <w:sz w:val="26"/>
          <w:szCs w:val="26"/>
        </w:rPr>
        <w:t xml:space="preserve">5.3 Régimen de Comisiones</w:t>
      </w:r>
    </w:p>
    <w:p>
      <w:pPr>
        <w:spacing w:after="120" w:before="60"/>
        <w:jc w:val="both"/>
      </w:pPr>
      <w:r>
        <w:rPr>
          <w:rFonts w:ascii="Arial" w:cs="Arial" w:eastAsia="Arial" w:hAnsi="Arial"/>
          <w:color w:val="1A1A1A"/>
          <w:sz w:val="20"/>
          <w:szCs w:val="20"/>
        </w:rPr>
        <w:t xml:space="preserve">Going reconocerá a la Agencia una comisión del </w:t>
      </w:r>
    </w:p>
    <w:p>
      <w:pPr>
        <w:spacing w:after="120" w:before="60"/>
        <w:jc w:val="both"/>
      </w:pPr>
      <w:r>
        <w:rPr>
          <w:rFonts w:ascii="Arial" w:cs="Arial" w:eastAsia="Arial" w:hAnsi="Arial"/>
          <w:b/>
          <w:bCs/>
          <w:color w:val="1A1A1A"/>
          <w:sz w:val="20"/>
          <w:szCs w:val="20"/>
        </w:rPr>
        <w:t xml:space="preserve">10% (diez por ciento)</w:t>
      </w:r>
      <w:r>
        <w:rPr>
          <w:rFonts w:ascii="Arial" w:cs="Arial" w:eastAsia="Arial" w:hAnsi="Arial"/>
          <w:color w:val="1A1A1A"/>
          <w:sz w:val="20"/>
          <w:szCs w:val="20"/>
        </w:rPr>
        <w:t xml:space="preserve"> sobre el valor neto (sin IVA) de cada Viaje efectivamente ejecutado a través de la Plataforma. La comisión se calcula sobre el precio base del servicio, </w:t>
      </w:r>
      <w:r>
        <w:rPr>
          <w:rFonts w:ascii="Arial" w:cs="Arial" w:eastAsia="Arial" w:hAnsi="Arial"/>
          <w:b/>
          <w:bCs/>
          <w:color w:val="1A1A1A"/>
          <w:sz w:val="20"/>
          <w:szCs w:val="20"/>
        </w:rPr>
        <w:t xml:space="preserve">excluyendo</w:t>
      </w:r>
      <w:r>
        <w:rPr>
          <w:rFonts w:ascii="Arial" w:cs="Arial" w:eastAsia="Arial" w:hAnsi="Arial"/>
          <w:color w:val="1A1A1A"/>
          <w:sz w:val="20"/>
          <w:szCs w:val="20"/>
        </w:rPr>
        <w:t xml:space="preserve"> recargos, tasas aeroportuarias, cargos por espera o servicios adicionales no parte del Booking original.</w:t>
      </w:r>
    </w:p>
    <w:p>
      <w:pPr>
        <w:spacing w:after="120" w:before="60"/>
        <w:jc w:val="both"/>
      </w:pPr>
      <w:r>
        <w:rPr>
          <w:rFonts w:ascii="Arial" w:cs="Arial" w:eastAsia="Arial" w:hAnsi="Arial"/>
          <w:color w:val="1A1A1A"/>
          <w:sz w:val="20"/>
          <w:szCs w:val="20"/>
        </w:rPr>
        <w:t xml:space="preserve">No se generará comisión sobre Bookings cancelados, independientemente de la causa.</w:t>
      </w:r>
    </w:p>
    <w:p>
      <w:pPr>
        <w:pStyle w:val="Heading2"/>
        <w:spacing w:after="120" w:before="280"/>
      </w:pPr>
      <w:r>
        <w:rPr>
          <w:rFonts w:ascii="Arial" w:cs="Arial" w:eastAsia="Arial" w:hAnsi="Arial"/>
          <w:b/>
          <w:bCs/>
          <w:color w:val="1E3A5F"/>
          <w:sz w:val="26"/>
          <w:szCs w:val="26"/>
        </w:rPr>
        <w:t xml:space="preserve">5.4 Liquidación de Comisiones</w:t>
      </w:r>
    </w:p>
    <w:p>
      <w:pPr>
        <w:spacing w:after="120" w:before="60"/>
        <w:jc w:val="both"/>
      </w:pPr>
      <w:r>
        <w:rPr>
          <w:rFonts w:ascii="Arial" w:cs="Arial" w:eastAsia="Arial" w:hAnsi="Arial"/>
          <w:color w:val="1A1A1A"/>
          <w:sz w:val="20"/>
          <w:szCs w:val="20"/>
        </w:rPr>
        <w:t xml:space="preserve">Going liquidará las comisiones acumuladas en el período mediante nota de crédito o transferencia bancaria, dentro de los </w:t>
      </w:r>
    </w:p>
    <w:p>
      <w:pPr>
        <w:spacing w:after="120" w:before="60"/>
        <w:jc w:val="both"/>
      </w:pPr>
      <w:r>
        <w:rPr>
          <w:rFonts w:ascii="Arial" w:cs="Arial" w:eastAsia="Arial" w:hAnsi="Arial"/>
          <w:b/>
          <w:bCs/>
          <w:color w:val="1A1A1A"/>
          <w:sz w:val="20"/>
          <w:szCs w:val="20"/>
        </w:rPr>
        <w:t xml:space="preserve">15 días calendario</w:t>
      </w:r>
      <w:r>
        <w:rPr>
          <w:rFonts w:ascii="Arial" w:cs="Arial" w:eastAsia="Arial" w:hAnsi="Arial"/>
          <w:color w:val="1A1A1A"/>
          <w:sz w:val="20"/>
          <w:szCs w:val="20"/>
        </w:rPr>
        <w:t xml:space="preserve"> siguientes a la fecha de ejecución del último Viaje del período de liquidación. El período de liquidación es </w:t>
      </w:r>
      <w:r>
        <w:rPr>
          <w:rFonts w:ascii="Arial" w:cs="Arial" w:eastAsia="Arial" w:hAnsi="Arial"/>
          <w:b/>
          <w:bCs/>
          <w:color w:val="CC0000"/>
          <w:sz w:val="20"/>
          <w:szCs w:val="20"/>
        </w:rPr>
        <w:t xml:space="preserve">[quincenal / mensual]</w:t>
      </w:r>
      <w:r>
        <w:rPr>
          <w:rFonts w:ascii="Arial" w:cs="Arial" w:eastAsia="Arial" w:hAnsi="Arial"/>
          <w:color w:val="1A1A1A"/>
          <w:sz w:val="20"/>
          <w:szCs w:val="20"/>
        </w:rPr>
        <w:t xml:space="preserve">. La Agencia deberá emitir la factura correspondiente a Going dentro de los [3] Días Hábiles siguientes a la notificación de la liquidación.</w:t>
      </w:r>
    </w:p>
    <w:p>
      <w:pPr>
        <w:pStyle w:val="Heading2"/>
        <w:spacing w:after="120" w:before="280"/>
      </w:pPr>
      <w:r>
        <w:rPr>
          <w:rFonts w:ascii="Arial" w:cs="Arial" w:eastAsia="Arial" w:hAnsi="Arial"/>
          <w:b/>
          <w:bCs/>
          <w:color w:val="1E3A5F"/>
          <w:sz w:val="26"/>
          <w:szCs w:val="26"/>
        </w:rPr>
        <w:t xml:space="preserve">5.5 Reservas a Nombre de Terceros</w:t>
      </w:r>
    </w:p>
    <w:p>
      <w:pPr>
        <w:spacing w:after="120" w:before="60"/>
        <w:jc w:val="both"/>
      </w:pPr>
      <w:r>
        <w:rPr>
          <w:rFonts w:ascii="Arial" w:cs="Arial" w:eastAsia="Arial" w:hAnsi="Arial"/>
          <w:color w:val="1A1A1A"/>
          <w:sz w:val="20"/>
          <w:szCs w:val="20"/>
        </w:rPr>
        <w:t xml:space="preserve">La Agencia podrá realizar Bookings indicando a los pasajeros o beneficiarios finales del servicio. La Agencia es responsable de:</w:t>
      </w:r>
    </w:p>
    <w:p>
      <w:pPr>
        <w:pStyle w:val="ListParagraph"/>
        <w:numPr>
          <w:ilvl w:val="0"/>
          <w:numId w:val="2"/>
        </w:numPr>
        <w:spacing w:after="40" w:before="40"/>
      </w:pPr>
      <w:r>
        <w:rPr>
          <w:rFonts w:ascii="Arial" w:cs="Arial" w:eastAsia="Arial" w:hAnsi="Arial"/>
          <w:color w:val="1A1A1A"/>
          <w:sz w:val="20"/>
          <w:szCs w:val="20"/>
        </w:rPr>
        <w:t xml:space="preserve">Verificar la identidad y datos del pasajero al momento de la reserva.</w:t>
      </w:r>
    </w:p>
    <w:p>
      <w:pPr>
        <w:pStyle w:val="ListParagraph"/>
        <w:numPr>
          <w:ilvl w:val="0"/>
          <w:numId w:val="2"/>
        </w:numPr>
        <w:spacing w:after="40" w:before="40"/>
      </w:pPr>
      <w:r>
        <w:rPr>
          <w:rFonts w:ascii="Arial" w:cs="Arial" w:eastAsia="Arial" w:hAnsi="Arial"/>
          <w:color w:val="1A1A1A"/>
          <w:sz w:val="20"/>
          <w:szCs w:val="20"/>
        </w:rPr>
        <w:t xml:space="preserve">Informar al pasajero sobre las condiciones del Viaje, incluyendo políticas de cancelación y cambios.</w:t>
      </w:r>
    </w:p>
    <w:p>
      <w:pPr>
        <w:pStyle w:val="ListParagraph"/>
        <w:numPr>
          <w:ilvl w:val="0"/>
          <w:numId w:val="2"/>
        </w:numPr>
        <w:spacing w:after="40" w:before="40"/>
      </w:pPr>
      <w:r>
        <w:rPr>
          <w:rFonts w:ascii="Arial" w:cs="Arial" w:eastAsia="Arial" w:hAnsi="Arial"/>
          <w:color w:val="1A1A1A"/>
          <w:sz w:val="20"/>
          <w:szCs w:val="20"/>
        </w:rPr>
        <w:t xml:space="preserve">Gestionar ante Going cualquier modificación o cancelación solicitada por el pasajero.</w:t>
      </w:r>
    </w:p>
    <w:p>
      <w:pPr>
        <w:pStyle w:val="ListParagraph"/>
        <w:numPr>
          <w:ilvl w:val="0"/>
          <w:numId w:val="2"/>
        </w:numPr>
        <w:spacing w:after="40" w:before="40"/>
      </w:pPr>
      <w:r>
        <w:rPr>
          <w:rFonts w:ascii="Arial" w:cs="Arial" w:eastAsia="Arial" w:hAnsi="Arial"/>
          <w:color w:val="1A1A1A"/>
          <w:sz w:val="20"/>
          <w:szCs w:val="20"/>
        </w:rPr>
        <w:t xml:space="preserve">Responder frente a Going por el pago de cualquier cargo derivado de la gestión de reservas de terceros.</w:t>
      </w:r>
    </w:p>
    <w:p>
      <w:pPr>
        <w:pStyle w:val="Heading2"/>
        <w:spacing w:after="120" w:before="280"/>
      </w:pPr>
      <w:r>
        <w:rPr>
          <w:rFonts w:ascii="Arial" w:cs="Arial" w:eastAsia="Arial" w:hAnsi="Arial"/>
          <w:b/>
          <w:bCs/>
          <w:color w:val="1E3A5F"/>
          <w:sz w:val="26"/>
          <w:szCs w:val="26"/>
        </w:rPr>
        <w:t xml:space="preserve">5.6 Obligaciones de la Agencia</w:t>
      </w:r>
    </w:p>
    <w:p>
      <w:pPr>
        <w:pStyle w:val="ListParagraph"/>
        <w:numPr>
          <w:ilvl w:val="0"/>
          <w:numId w:val="3"/>
        </w:numPr>
        <w:spacing w:after="40" w:before="40"/>
      </w:pPr>
      <w:r>
        <w:rPr>
          <w:rFonts w:ascii="Arial" w:cs="Arial" w:eastAsia="Arial" w:hAnsi="Arial"/>
          <w:color w:val="1A1A1A"/>
          <w:sz w:val="20"/>
          <w:szCs w:val="20"/>
        </w:rPr>
        <w:t xml:space="preserve">Mantener vigente su Registro de Turismo y comunicar a Going cualquier suspensión o cancelación del mismo.</w:t>
      </w:r>
    </w:p>
    <w:p>
      <w:pPr>
        <w:pStyle w:val="ListParagraph"/>
        <w:numPr>
          <w:ilvl w:val="0"/>
          <w:numId w:val="3"/>
        </w:numPr>
        <w:spacing w:after="40" w:before="40"/>
      </w:pPr>
      <w:r>
        <w:rPr>
          <w:rFonts w:ascii="Arial" w:cs="Arial" w:eastAsia="Arial" w:hAnsi="Arial"/>
          <w:color w:val="1A1A1A"/>
          <w:sz w:val="20"/>
          <w:szCs w:val="20"/>
        </w:rPr>
        <w:t xml:space="preserve">Utilizar la Plataforma exclusivamente para fines de intermediación turística lícita.</w:t>
      </w:r>
    </w:p>
    <w:p>
      <w:pPr>
        <w:pStyle w:val="ListParagraph"/>
        <w:numPr>
          <w:ilvl w:val="0"/>
          <w:numId w:val="3"/>
        </w:numPr>
        <w:spacing w:after="40" w:before="40"/>
      </w:pPr>
      <w:r>
        <w:rPr>
          <w:rFonts w:ascii="Arial" w:cs="Arial" w:eastAsia="Arial" w:hAnsi="Arial"/>
          <w:color w:val="1A1A1A"/>
          <w:sz w:val="20"/>
          <w:szCs w:val="20"/>
        </w:rPr>
        <w:t xml:space="preserve">No subcontratar ni delegar el acceso a la Cuenta a personas ajenas a la Agencia sin autorización expresa de Going.</w:t>
      </w:r>
    </w:p>
    <w:p>
      <w:pPr>
        <w:pStyle w:val="ListParagraph"/>
        <w:numPr>
          <w:ilvl w:val="0"/>
          <w:numId w:val="3"/>
        </w:numPr>
        <w:spacing w:after="40" w:before="40"/>
      </w:pPr>
      <w:r>
        <w:rPr>
          <w:rFonts w:ascii="Arial" w:cs="Arial" w:eastAsia="Arial" w:hAnsi="Arial"/>
          <w:color w:val="1A1A1A"/>
          <w:sz w:val="20"/>
          <w:szCs w:val="20"/>
        </w:rPr>
        <w:t xml:space="preserve">Emitir facturas de comisión dentro de los plazos establecidos.</w:t>
      </w:r>
    </w:p>
    <w:p>
      <w:pPr>
        <w:pStyle w:val="ListParagraph"/>
        <w:numPr>
          <w:ilvl w:val="0"/>
          <w:numId w:val="3"/>
        </w:numPr>
        <w:spacing w:after="40" w:before="40"/>
      </w:pPr>
      <w:r>
        <w:rPr>
          <w:rFonts w:ascii="Arial" w:cs="Arial" w:eastAsia="Arial" w:hAnsi="Arial"/>
          <w:color w:val="1A1A1A"/>
          <w:sz w:val="20"/>
          <w:szCs w:val="20"/>
        </w:rPr>
        <w:t xml:space="preserve">Mantener confidencialidad sobre las tarifas especiales y condiciones comerciales acordadas con Going.</w:t>
      </w:r>
    </w:p>
    <w:p>
      <w:pPr>
        <w:pStyle w:val="Heading2"/>
        <w:spacing w:after="120" w:before="280"/>
      </w:pPr>
      <w:r>
        <w:rPr>
          <w:rFonts w:ascii="Arial" w:cs="Arial" w:eastAsia="Arial" w:hAnsi="Arial"/>
          <w:b/>
          <w:bCs/>
          <w:color w:val="1E3A5F"/>
          <w:sz w:val="26"/>
          <w:szCs w:val="26"/>
        </w:rPr>
        <w:t xml:space="preserve">5.7 Retención y Devolución de Comisiones</w:t>
      </w:r>
    </w:p>
    <w:p>
      <w:pPr>
        <w:spacing w:after="120" w:before="60"/>
        <w:jc w:val="both"/>
      </w:pPr>
      <w:r>
        <w:rPr>
          <w:rFonts w:ascii="Arial" w:cs="Arial" w:eastAsia="Arial" w:hAnsi="Arial"/>
          <w:color w:val="1A1A1A"/>
          <w:sz w:val="20"/>
          <w:szCs w:val="20"/>
        </w:rPr>
        <w:t xml:space="preserve">Going se reserva el derecho de retener o recuperar comisiones pagadas en los siguientes casos:</w:t>
      </w:r>
    </w:p>
    <w:p>
      <w:pPr>
        <w:pStyle w:val="ListParagraph"/>
        <w:numPr>
          <w:ilvl w:val="0"/>
          <w:numId w:val="2"/>
        </w:numPr>
        <w:spacing w:after="40" w:before="40"/>
      </w:pPr>
      <w:r>
        <w:rPr>
          <w:rFonts w:ascii="Arial" w:cs="Arial" w:eastAsia="Arial" w:hAnsi="Arial"/>
          <w:color w:val="1A1A1A"/>
          <w:sz w:val="20"/>
          <w:szCs w:val="20"/>
        </w:rPr>
        <w:t xml:space="preserve">Bookings cancelados con posterioridad al pago de la comisión, por causa imputable a la Agencia o al pasajero.</w:t>
      </w:r>
    </w:p>
    <w:p>
      <w:pPr>
        <w:pStyle w:val="ListParagraph"/>
        <w:numPr>
          <w:ilvl w:val="0"/>
          <w:numId w:val="2"/>
        </w:numPr>
        <w:spacing w:after="40" w:before="40"/>
      </w:pPr>
      <w:r>
        <w:rPr>
          <w:rFonts w:ascii="Arial" w:cs="Arial" w:eastAsia="Arial" w:hAnsi="Arial"/>
          <w:color w:val="1A1A1A"/>
          <w:sz w:val="20"/>
          <w:szCs w:val="20"/>
        </w:rPr>
        <w:t xml:space="preserve">Disputas de pago no resueltas dentro de [30] días calendario.</w:t>
      </w:r>
    </w:p>
    <w:p>
      <w:pPr>
        <w:pStyle w:val="ListParagraph"/>
        <w:numPr>
          <w:ilvl w:val="0"/>
          <w:numId w:val="2"/>
        </w:numPr>
        <w:spacing w:after="40" w:before="40"/>
      </w:pPr>
      <w:r>
        <w:rPr>
          <w:rFonts w:ascii="Arial" w:cs="Arial" w:eastAsia="Arial" w:hAnsi="Arial"/>
          <w:color w:val="1A1A1A"/>
          <w:sz w:val="20"/>
          <w:szCs w:val="20"/>
        </w:rPr>
        <w:t xml:space="preserve">Incumplimiento de las obligaciones de la Agencia establecidas en la Sección 5.6.</w:t>
      </w:r>
    </w:p>
    <w:p>
      <w:pPr>
        <w:pStyle w:val="Heading2"/>
        <w:spacing w:after="120" w:before="280"/>
      </w:pPr>
      <w:r>
        <w:rPr>
          <w:rFonts w:ascii="Arial" w:cs="Arial" w:eastAsia="Arial" w:hAnsi="Arial"/>
          <w:b/>
          <w:bCs/>
          <w:color w:val="1E3A5F"/>
          <w:sz w:val="26"/>
          <w:szCs w:val="26"/>
        </w:rPr>
        <w:t xml:space="preserve">5.8 Duración y Terminación</w:t>
      </w:r>
    </w:p>
    <w:p>
      <w:pPr>
        <w:spacing w:after="120" w:before="60"/>
        <w:jc w:val="both"/>
      </w:pPr>
      <w:r>
        <w:rPr>
          <w:rFonts w:ascii="Arial" w:cs="Arial" w:eastAsia="Arial" w:hAnsi="Arial"/>
          <w:color w:val="1A1A1A"/>
          <w:sz w:val="20"/>
          <w:szCs w:val="20"/>
        </w:rPr>
        <w:t xml:space="preserve">El acuerdo de Agencia tendrá una duración inicial de 12 meses con renovación automática. Cualquiera de las partes podrá terminarlo con [30] días de preaviso. En caso de terminación, Going liquidará las comisiones devengadas y pendientes dentro de [15] días calendario.</w:t>
      </w:r>
    </w:p>
    <w:p>
      <w:pPr>
        <w:pStyle w:val="Heading1"/>
        <w:pageBreakBefore/>
        <w:spacing w:after="200" w:before="0"/>
      </w:pPr>
      <w:r>
        <w:rPr>
          <w:rFonts w:ascii="Arial" w:cs="Arial" w:eastAsia="Arial" w:hAnsi="Arial"/>
          <w:b/>
          <w:bCs/>
          <w:color w:val="1E3A5F"/>
          <w:sz w:val="32"/>
          <w:szCs w:val="32"/>
        </w:rPr>
        <w:t xml:space="preserve">6. Disposiciones Finales</w:t>
      </w:r>
    </w:p>
    <w:p>
      <w:pPr>
        <w:pStyle w:val="Heading2"/>
        <w:spacing w:after="120" w:before="280"/>
      </w:pPr>
      <w:r>
        <w:rPr>
          <w:rFonts w:ascii="Arial" w:cs="Arial" w:eastAsia="Arial" w:hAnsi="Arial"/>
          <w:b/>
          <w:bCs/>
          <w:color w:val="1E3A5F"/>
          <w:sz w:val="26"/>
          <w:szCs w:val="26"/>
        </w:rPr>
        <w:t xml:space="preserve">6.1 Legislación Aplicable</w:t>
      </w:r>
    </w:p>
    <w:p>
      <w:pPr>
        <w:spacing w:after="120" w:before="60"/>
        <w:jc w:val="both"/>
      </w:pPr>
      <w:r>
        <w:rPr>
          <w:rFonts w:ascii="Arial" w:cs="Arial" w:eastAsia="Arial" w:hAnsi="Arial"/>
          <w:color w:val="1A1A1A"/>
          <w:sz w:val="20"/>
          <w:szCs w:val="20"/>
        </w:rPr>
        <w:t xml:space="preserve">Los presentes términos y condiciones se rigen por las leyes de la República del Ecuador, en particular por el Código Civil, el Código de Comercio, la Ley Orgánica de Defensa del Consumidor y demás normativa aplicable.</w:t>
      </w:r>
    </w:p>
    <w:p>
      <w:pPr>
        <w:pStyle w:val="Heading2"/>
        <w:spacing w:after="120" w:before="280"/>
      </w:pPr>
      <w:r>
        <w:rPr>
          <w:rFonts w:ascii="Arial" w:cs="Arial" w:eastAsia="Arial" w:hAnsi="Arial"/>
          <w:b/>
          <w:bCs/>
          <w:color w:val="1E3A5F"/>
          <w:sz w:val="26"/>
          <w:szCs w:val="26"/>
        </w:rPr>
        <w:t xml:space="preserve">6.2 Resolución de Conflictos</w:t>
      </w:r>
    </w:p>
    <w:p>
      <w:pPr>
        <w:spacing w:after="120" w:before="60"/>
        <w:jc w:val="both"/>
      </w:pPr>
      <w:r>
        <w:rPr>
          <w:rFonts w:ascii="Arial" w:cs="Arial" w:eastAsia="Arial" w:hAnsi="Arial"/>
          <w:color w:val="1A1A1A"/>
          <w:sz w:val="20"/>
          <w:szCs w:val="20"/>
        </w:rPr>
        <w:t xml:space="preserve">Las partes se comprometen a resolver cualquier controversia derivada del presente acuerdo en primer lugar mediante negociación directa de buena fe durante un plazo máximo de [15] Días Hábiles. De no llegarse a un acuerdo, la controversia se someterá a arbitraje ante el Centro de Arbitraje y Mediación de la </w:t>
      </w:r>
    </w:p>
    <w:p>
      <w:pPr>
        <w:spacing w:after="120" w:before="60"/>
        <w:jc w:val="both"/>
      </w:pPr>
      <w:r>
        <w:rPr>
          <w:rFonts w:ascii="Arial" w:cs="Arial" w:eastAsia="Arial" w:hAnsi="Arial"/>
          <w:b/>
          <w:bCs/>
          <w:color w:val="CC0000"/>
          <w:sz w:val="20"/>
          <w:szCs w:val="20"/>
        </w:rPr>
        <w:t xml:space="preserve">[Cámara de Comercio de [CIUDAD]]</w:t>
      </w:r>
      <w:r>
        <w:rPr>
          <w:rFonts w:ascii="Arial" w:cs="Arial" w:eastAsia="Arial" w:hAnsi="Arial"/>
          <w:color w:val="1A1A1A"/>
          <w:sz w:val="20"/>
          <w:szCs w:val="20"/>
        </w:rPr>
        <w:t xml:space="preserve">, de conformidad con su reglamento vigente, y el laudo arbitral será definitivo y obligatorio para las partes.</w:t>
      </w:r>
    </w:p>
    <w:p>
      <w:pPr>
        <w:pStyle w:val="Heading2"/>
        <w:spacing w:after="120" w:before="280"/>
      </w:pPr>
      <w:r>
        <w:rPr>
          <w:rFonts w:ascii="Arial" w:cs="Arial" w:eastAsia="Arial" w:hAnsi="Arial"/>
          <w:b/>
          <w:bCs/>
          <w:color w:val="1E3A5F"/>
          <w:sz w:val="26"/>
          <w:szCs w:val="26"/>
        </w:rPr>
        <w:t xml:space="preserve">6.3 Notificaciones</w:t>
      </w:r>
    </w:p>
    <w:p>
      <w:pPr>
        <w:spacing w:after="120" w:before="60"/>
        <w:jc w:val="both"/>
      </w:pPr>
      <w:r>
        <w:rPr>
          <w:rFonts w:ascii="Arial" w:cs="Arial" w:eastAsia="Arial" w:hAnsi="Arial"/>
          <w:color w:val="1A1A1A"/>
          <w:sz w:val="20"/>
          <w:szCs w:val="20"/>
        </w:rPr>
        <w:t xml:space="preserve">Todas las notificaciones entre las partes se realizarán por escrito, al correo electrónico registrado en la Cuenta Corporativa o a la dirección física declarada. Las notificaciones se tendrán por recibidas al día hábil siguiente de su envío.</w:t>
      </w:r>
    </w:p>
    <w:p>
      <w:pPr>
        <w:pStyle w:val="Heading2"/>
        <w:spacing w:after="120" w:before="280"/>
      </w:pPr>
      <w:r>
        <w:rPr>
          <w:rFonts w:ascii="Arial" w:cs="Arial" w:eastAsia="Arial" w:hAnsi="Arial"/>
          <w:b/>
          <w:bCs/>
          <w:color w:val="1E3A5F"/>
          <w:sz w:val="26"/>
          <w:szCs w:val="26"/>
        </w:rPr>
        <w:t xml:space="preserve">6.4 Divisibilidad</w:t>
      </w:r>
    </w:p>
    <w:p>
      <w:pPr>
        <w:spacing w:after="120" w:before="60"/>
        <w:jc w:val="both"/>
      </w:pPr>
      <w:r>
        <w:rPr>
          <w:rFonts w:ascii="Arial" w:cs="Arial" w:eastAsia="Arial" w:hAnsi="Arial"/>
          <w:color w:val="1A1A1A"/>
          <w:sz w:val="20"/>
          <w:szCs w:val="20"/>
        </w:rPr>
        <w:t xml:space="preserve">Si alguna disposición de estos términos fuera declarada nula, inválida o inaplicable, las demás disposiciones mantendrán plena vigencia y eficacia.</w:t>
      </w:r>
    </w:p>
    <w:p>
      <w:pPr>
        <w:pStyle w:val="Heading2"/>
        <w:spacing w:after="120" w:before="280"/>
      </w:pPr>
      <w:r>
        <w:rPr>
          <w:rFonts w:ascii="Arial" w:cs="Arial" w:eastAsia="Arial" w:hAnsi="Arial"/>
          <w:b/>
          <w:bCs/>
          <w:color w:val="1E3A5F"/>
          <w:sz w:val="26"/>
          <w:szCs w:val="26"/>
        </w:rPr>
        <w:t xml:space="preserve">6.5 Acuerdo Completo</w:t>
      </w:r>
    </w:p>
    <w:p>
      <w:pPr>
        <w:spacing w:after="120" w:before="60"/>
        <w:jc w:val="both"/>
      </w:pPr>
      <w:r>
        <w:rPr>
          <w:rFonts w:ascii="Arial" w:cs="Arial" w:eastAsia="Arial" w:hAnsi="Arial"/>
          <w:color w:val="1A1A1A"/>
          <w:sz w:val="20"/>
          <w:szCs w:val="20"/>
        </w:rPr>
        <w:t xml:space="preserve">El presente documento, junto con la Política de Privacidad y cualquier anexo específico firmado entre las partes, constituye el acuerdo completo entre Going y el Cliente, reemplazando cualquier entendimiento o acuerdo previo, verbal o escrito, sobre la misma materia.</w:t>
      </w:r>
    </w:p>
    <w:p>
      <w:pPr>
        <w:spacing w:after="60" w:before="60"/>
      </w:pPr>
      <w:r>
        <w:t xml:space="preserve"/>
      </w:r>
    </w:p>
    <w:p>
      <w:pPr>
        <w:spacing w:after="60" w:before="60"/>
      </w:pPr>
      <w:r>
        <w:t xml:space="preserve"/>
      </w:r>
    </w:p>
    <w:p>
      <w:pPr>
        <w:spacing w:after="120" w:before="60"/>
        <w:jc w:val="both"/>
      </w:pPr>
      <w:r>
        <w:rPr>
          <w:rFonts w:ascii="Arial" w:cs="Arial" w:eastAsia="Arial" w:hAnsi="Arial"/>
          <w:i/>
          <w:iCs/>
          <w:color w:val="888888"/>
          <w:sz w:val="20"/>
          <w:szCs w:val="20"/>
        </w:rPr>
        <w:t xml:space="preserve">— Fin del documento —</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jc w:val="right"/>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pPr>
    <w:r>
      <w:rPr>
        <w:rFonts w:ascii="Arial" w:cs="Arial" w:eastAsia="Arial" w:hAnsi="Arial"/>
        <w:color w:val="888888"/>
        <w:sz w:val="16"/>
        <w:szCs w:val="16"/>
      </w:rPr>
      <w:t xml:space="preserve">Going para Empresas  ·  Condiciones Contractuales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2026-04-21T19:29:55.899Z</dcterms:created>
  <dcterms:modified xsi:type="dcterms:W3CDTF">2026-04-21T19:29:55.899Z</dcterms:modified>
</cp:coreProperties>
</file>

<file path=docProps/custom.xml><?xml version="1.0" encoding="utf-8"?>
<Properties xmlns="http://schemas.openxmlformats.org/officeDocument/2006/custom-properties" xmlns:vt="http://schemas.openxmlformats.org/officeDocument/2006/docPropsVTypes"/>
</file>