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Open Refreshable Braille Display (ORBD)</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Russell Ro, High School Student</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Adam Walker, High School Student</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Technologies Academy</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 Robin Street</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Vegas, NV 89106</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pr.russell.ro@gmail.com</w:t>
        </w:r>
      </w:hyperlink>
      <w:r w:rsidDel="00000000" w:rsidR="00000000" w:rsidRPr="00000000">
        <w:rPr>
          <w:rFonts w:ascii="Times New Roman" w:cs="Times New Roman" w:eastAsia="Times New Roman" w:hAnsi="Times New Roman"/>
          <w:sz w:val="24"/>
          <w:szCs w:val="24"/>
          <w:rtl w:val="0"/>
        </w:rPr>
        <w:t xml:space="preserve">, 626-828-0560</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adamwalker567123@gmail.com</w:t>
        </w:r>
      </w:hyperlink>
      <w:r w:rsidDel="00000000" w:rsidR="00000000" w:rsidRPr="00000000">
        <w:rPr>
          <w:rFonts w:ascii="Times New Roman" w:cs="Times New Roman" w:eastAsia="Times New Roman" w:hAnsi="Times New Roman"/>
          <w:sz w:val="24"/>
          <w:szCs w:val="24"/>
          <w:rtl w:val="0"/>
        </w:rPr>
        <w:t xml:space="preserve">, 702-330-2590</w:t>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 million people are estimated to be visually impaired worldwide [1]. Many of these individuals do not have access to blind-assistive technology primarily due to cost and accessibility. One such device, the refreshable braille display, converts digital text to a tactile readout providing a valuable tool in reading and writing applications. However, prices range from $3,500 to $15,000 [2] making it difficult for many low-income visually impaired individuals to buy a device, especially since </w:t>
      </w:r>
      <w:r w:rsidDel="00000000" w:rsidR="00000000" w:rsidRPr="00000000">
        <w:rPr>
          <w:rFonts w:ascii="Times New Roman" w:cs="Times New Roman" w:eastAsia="Times New Roman" w:hAnsi="Times New Roman"/>
          <w:sz w:val="24"/>
          <w:szCs w:val="24"/>
          <w:rtl w:val="0"/>
        </w:rPr>
        <w:t xml:space="preserve">non-institutionalized persons aged 21-64 years with a visual disability have a median annual household income of $39,700 </w:t>
      </w:r>
      <w:r w:rsidDel="00000000" w:rsidR="00000000" w:rsidRPr="00000000">
        <w:rPr>
          <w:rFonts w:ascii="Times New Roman" w:cs="Times New Roman" w:eastAsia="Times New Roman" w:hAnsi="Times New Roman"/>
          <w:sz w:val="24"/>
          <w:szCs w:val="24"/>
          <w:rtl w:val="0"/>
        </w:rPr>
        <w:t xml:space="preserve">and about</w:t>
      </w:r>
      <w:r w:rsidDel="00000000" w:rsidR="00000000" w:rsidRPr="00000000">
        <w:rPr>
          <w:rFonts w:ascii="Times New Roman" w:cs="Times New Roman" w:eastAsia="Times New Roman" w:hAnsi="Times New Roman"/>
          <w:sz w:val="24"/>
          <w:szCs w:val="24"/>
          <w:rtl w:val="0"/>
        </w:rPr>
        <w:t xml:space="preserve"> 29% of them live below the poverty line [3]. Since many refreshable braille displays are prohibitively expensive, previous approaches have attempted to lower its cost by restricting the number of characters displayed, but this arose the new problem of higher translation error rates [4]. In order to make refreshable braille displays more effective for a greater number of visually impaired individuals, our open-source device, ORBD, will provide a cheaper alternative to existing braille displays that does not sacrifice on readability, including the number of characters.</w:t>
      </w: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changes to the refreshable braille display can allow for more affordability and accessibility?</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refreshable braille display design will be able to reach more visually impaired individuals without sacrificing its usability.</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Engineering Goals</w:t>
      </w:r>
      <w:r w:rsidDel="00000000" w:rsidR="00000000" w:rsidRPr="00000000">
        <w:rPr>
          <w:rtl w:val="0"/>
        </w:rPr>
      </w:r>
    </w:p>
    <w:p w:rsidR="00000000" w:rsidDel="00000000" w:rsidP="00000000" w:rsidRDefault="00000000" w:rsidRPr="00000000" w14:paraId="00000015">
      <w:pPr>
        <w:numPr>
          <w:ilvl w:val="0"/>
          <w:numId w:val="3"/>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multiple design possibilities to pursue</w:t>
      </w:r>
    </w:p>
    <w:p w:rsidR="00000000" w:rsidDel="00000000" w:rsidP="00000000" w:rsidRDefault="00000000" w:rsidRPr="00000000" w14:paraId="00000016">
      <w:pPr>
        <w:numPr>
          <w:ilvl w:val="0"/>
          <w:numId w:val="3"/>
        </w:numPr>
        <w:spacing w:after="0" w:before="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a new approach to a refreshable display at a feasible price</w:t>
      </w:r>
    </w:p>
    <w:p w:rsidR="00000000" w:rsidDel="00000000" w:rsidP="00000000" w:rsidRDefault="00000000" w:rsidRPr="00000000" w14:paraId="00000017">
      <w:pPr>
        <w:numPr>
          <w:ilvl w:val="0"/>
          <w:numId w:val="3"/>
        </w:numPr>
        <w:spacing w:after="0" w:before="0" w:lineRule="auto"/>
        <w:ind w:left="720" w:firstLine="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display computer text input in a standard braille alphabet</w:t>
      </w:r>
    </w:p>
    <w:p w:rsidR="00000000" w:rsidDel="00000000" w:rsidP="00000000" w:rsidRDefault="00000000" w:rsidRPr="00000000" w14:paraId="00000018">
      <w:pPr>
        <w:numPr>
          <w:ilvl w:val="0"/>
          <w:numId w:val="3"/>
        </w:numPr>
        <w:spacing w:after="0" w:before="0" w:lineRule="auto"/>
        <w:ind w:left="720" w:firstLine="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Minimizes cost</w:t>
      </w:r>
    </w:p>
    <w:p w:rsidR="00000000" w:rsidDel="00000000" w:rsidP="00000000" w:rsidRDefault="00000000" w:rsidRPr="00000000" w14:paraId="00000019">
      <w:pPr>
        <w:numPr>
          <w:ilvl w:val="0"/>
          <w:numId w:val="3"/>
        </w:numPr>
        <w:spacing w:after="0" w:before="0" w:lineRule="auto"/>
        <w:ind w:left="720" w:firstLine="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an expandable platform to increase the number of characters</w:t>
      </w:r>
    </w:p>
    <w:p w:rsidR="00000000" w:rsidDel="00000000" w:rsidP="00000000" w:rsidRDefault="00000000" w:rsidRPr="00000000" w14:paraId="0000001A">
      <w:pPr>
        <w:numPr>
          <w:ilvl w:val="0"/>
          <w:numId w:val="3"/>
        </w:numPr>
        <w:spacing w:after="0" w:before="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device open-source for public accessibility</w:t>
      </w:r>
    </w:p>
    <w:p w:rsidR="00000000" w:rsidDel="00000000" w:rsidP="00000000" w:rsidRDefault="00000000" w:rsidRPr="00000000" w14:paraId="0000001B">
      <w:pPr>
        <w:numPr>
          <w:ilvl w:val="0"/>
          <w:numId w:val="3"/>
        </w:numPr>
        <w:spacing w:after="0" w:before="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permits, receive feedback from the Blind Center of Nevada</w:t>
      </w:r>
    </w:p>
    <w:p w:rsidR="00000000" w:rsidDel="00000000" w:rsidP="00000000" w:rsidRDefault="00000000" w:rsidRPr="00000000" w14:paraId="0000001C">
      <w:pPr>
        <w:numPr>
          <w:ilvl w:val="0"/>
          <w:numId w:val="3"/>
        </w:numPr>
        <w:spacing w:after="0" w:before="0" w:lineRule="auto"/>
        <w:ind w:left="720" w:firstLine="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readability of the device</w:t>
      </w:r>
    </w:p>
    <w:p w:rsidR="00000000" w:rsidDel="00000000" w:rsidP="00000000" w:rsidRDefault="00000000" w:rsidRPr="00000000" w14:paraId="0000001D">
      <w:pPr>
        <w:numPr>
          <w:ilvl w:val="0"/>
          <w:numId w:val="3"/>
        </w:numPr>
        <w:spacing w:after="0" w:before="0" w:lineRule="auto"/>
        <w:ind w:left="720" w:firstLine="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Donate the prototype to allow for further feedback and research</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printer-based rail design allows for a stepper motor and gear to turn wheels with tactile braille to appropriate characters. Magnets will assist the wheels to stay at their appropriate characters. Since the wheels rest on a central axle and the motor on the rail theoretically has unlimited extendability, more wheels may be added allowing for more characters to be displayed.</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Procedures</w:t>
      </w:r>
      <w:r w:rsidDel="00000000" w:rsidR="00000000" w:rsidRPr="00000000">
        <w:rPr>
          <w:rtl w:val="0"/>
        </w:rPr>
      </w:r>
    </w:p>
    <w:p w:rsidR="00000000" w:rsidDel="00000000" w:rsidP="00000000" w:rsidRDefault="00000000" w:rsidRPr="00000000" w14:paraId="00000023">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Pre-planning a prototype by making schematics, 3D models, and preliminary plans for development.</w:t>
      </w:r>
      <w:r w:rsidDel="00000000" w:rsidR="00000000" w:rsidRPr="00000000">
        <w:rPr>
          <w:rtl w:val="0"/>
        </w:rPr>
      </w:r>
    </w:p>
    <w:p w:rsidR="00000000" w:rsidDel="00000000" w:rsidP="00000000" w:rsidRDefault="00000000" w:rsidRPr="00000000" w14:paraId="00000024">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 the prototype, including using soldering, 3D printers, and other techniques to develop an original design.</w:t>
      </w:r>
      <w:r w:rsidDel="00000000" w:rsidR="00000000" w:rsidRPr="00000000">
        <w:rPr>
          <w:rtl w:val="0"/>
        </w:rPr>
      </w:r>
    </w:p>
    <w:p w:rsidR="00000000" w:rsidDel="00000000" w:rsidP="00000000" w:rsidRDefault="00000000" w:rsidRPr="00000000" w14:paraId="00000025">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each prototype revision, test the following measurements:</w:t>
      </w:r>
      <w:r w:rsidDel="00000000" w:rsidR="00000000" w:rsidRPr="00000000">
        <w:rPr>
          <w:rtl w:val="0"/>
        </w:rPr>
      </w:r>
    </w:p>
    <w:p w:rsidR="00000000" w:rsidDel="00000000" w:rsidP="00000000" w:rsidRDefault="00000000" w:rsidRPr="00000000" w14:paraId="00000026">
      <w:pPr>
        <w:numPr>
          <w:ilvl w:val="1"/>
          <w:numId w:val="2"/>
        </w:numPr>
        <w:spacing w:after="0" w:before="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and readability of characters displayed</w:t>
      </w:r>
    </w:p>
    <w:p w:rsidR="00000000" w:rsidDel="00000000" w:rsidP="00000000" w:rsidRDefault="00000000" w:rsidRPr="00000000" w14:paraId="00000027">
      <w:pPr>
        <w:numPr>
          <w:ilvl w:val="2"/>
          <w:numId w:val="2"/>
        </w:numPr>
        <w:spacing w:after="0" w:before="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output to standard braille alphabet</w:t>
      </w:r>
    </w:p>
    <w:p w:rsidR="00000000" w:rsidDel="00000000" w:rsidP="00000000" w:rsidRDefault="00000000" w:rsidRPr="00000000" w14:paraId="00000028">
      <w:pPr>
        <w:numPr>
          <w:ilvl w:val="2"/>
          <w:numId w:val="2"/>
        </w:numPr>
        <w:spacing w:after="0" w:before="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height of characters and spacing of characters to standards for height and spacing</w:t>
      </w:r>
    </w:p>
    <w:p w:rsidR="00000000" w:rsidDel="00000000" w:rsidP="00000000" w:rsidRDefault="00000000" w:rsidRPr="00000000" w14:paraId="00000029">
      <w:pPr>
        <w:numPr>
          <w:ilvl w:val="2"/>
          <w:numId w:val="2"/>
        </w:numPr>
        <w:spacing w:after="0" w:before="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permits, allow individuals to provide feedback on the readability of the display</w:t>
      </w:r>
    </w:p>
    <w:p w:rsidR="00000000" w:rsidDel="00000000" w:rsidP="00000000" w:rsidRDefault="00000000" w:rsidRPr="00000000" w14:paraId="0000002A">
      <w:pPr>
        <w:numPr>
          <w:ilvl w:val="1"/>
          <w:numId w:val="2"/>
        </w:numPr>
        <w:spacing w:after="0" w:before="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of the design</w:t>
      </w:r>
    </w:p>
    <w:p w:rsidR="00000000" w:rsidDel="00000000" w:rsidP="00000000" w:rsidRDefault="00000000" w:rsidRPr="00000000" w14:paraId="0000002B">
      <w:pPr>
        <w:numPr>
          <w:ilvl w:val="2"/>
          <w:numId w:val="2"/>
        </w:numPr>
        <w:spacing w:after="0" w:before="0" w:lineRule="auto"/>
        <w:ind w:left="2160" w:firstLine="180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the speed of changing characters, including mean, variance, best case, and worst case</w:t>
      </w:r>
    </w:p>
    <w:p w:rsidR="00000000" w:rsidDel="00000000" w:rsidP="00000000" w:rsidRDefault="00000000" w:rsidRPr="00000000" w14:paraId="0000002C">
      <w:pPr>
        <w:numPr>
          <w:ilvl w:val="2"/>
          <w:numId w:val="2"/>
        </w:numPr>
        <w:ind w:left="2160" w:firstLine="180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and log all costs, including electronics and 3D printed components</w:t>
      </w:r>
    </w:p>
    <w:p w:rsidR="00000000" w:rsidDel="00000000" w:rsidP="00000000" w:rsidRDefault="00000000" w:rsidRPr="00000000" w14:paraId="0000002D">
      <w:pPr>
        <w:numPr>
          <w:ilvl w:val="2"/>
          <w:numId w:val="2"/>
        </w:numPr>
        <w:ind w:left="2160" w:firstLine="180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size of device and power usage</w:t>
      </w:r>
    </w:p>
    <w:p w:rsidR="00000000" w:rsidDel="00000000" w:rsidP="00000000" w:rsidRDefault="00000000" w:rsidRPr="00000000" w14:paraId="0000002E">
      <w:pPr>
        <w:numPr>
          <w:ilvl w:val="2"/>
          <w:numId w:val="2"/>
        </w:numPr>
        <w:ind w:left="2160" w:firstLine="180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attributes as applicable</w:t>
      </w:r>
    </w:p>
    <w:p w:rsidR="00000000" w:rsidDel="00000000" w:rsidP="00000000" w:rsidRDefault="00000000" w:rsidRPr="00000000" w14:paraId="0000002F">
      <w:pPr>
        <w:numPr>
          <w:ilvl w:val="1"/>
          <w:numId w:val="2"/>
        </w:numPr>
        <w:spacing w:after="0" w:before="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of the design</w:t>
      </w:r>
    </w:p>
    <w:p w:rsidR="00000000" w:rsidDel="00000000" w:rsidP="00000000" w:rsidRDefault="00000000" w:rsidRPr="00000000" w14:paraId="00000030">
      <w:pPr>
        <w:numPr>
          <w:ilvl w:val="2"/>
          <w:numId w:val="2"/>
        </w:numPr>
        <w:spacing w:after="0" w:before="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ORBD designs, drafts, and prototypes based on criteria in (a) and (b), as applicable</w:t>
      </w:r>
    </w:p>
    <w:p w:rsidR="00000000" w:rsidDel="00000000" w:rsidP="00000000" w:rsidRDefault="00000000" w:rsidRPr="00000000" w14:paraId="00000031">
      <w:pPr>
        <w:numPr>
          <w:ilvl w:val="2"/>
          <w:numId w:val="2"/>
        </w:numPr>
        <w:spacing w:after="0" w:before="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these attributes with other displays currently on the market, as applicable</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and Safety </w:t>
      </w: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risks to any participants or other parts involved in data collection. During assembling, 3D printers and soldering pose a potential heat risk, but by following proper precautions, this risk will remain at a minimum. Low-voltage and low-amperage electronics pose minimal to no risk.</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must first prioritize power efficiency as inefficient actuator design may limit the performance of the microcontroller, so power capabilities will be considered in the draft designs. Next, the speed and accuracy will be measured through inputting characters on a computer, translating them to the display, and recording the time it took and the correctness of the characters based on what was inputted in the computer. Lastly, a cost-benefit analysis for the draft designs and prototype will detail its feasibility as compared to other models.</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highlight w:val="white"/>
          <w:rtl w:val="0"/>
        </w:rPr>
        <w:t xml:space="preserve">Vision impairment and blindness. (2017, October). Retrieved January 21, 2018,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http://www.who.int/mediacentre/factsheets/fs282/en/</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3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highlight w:val="white"/>
          <w:rtl w:val="0"/>
        </w:rPr>
        <w:t xml:space="preserve">Refreshable Braille Displays. (n.d.). Retrieved January 21, 2018,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http://www.afb.org/prodBrowseCatResults.aspx?CatID=43</w:t>
        </w:r>
      </w:hyperlink>
      <w:r w:rsidDel="00000000" w:rsidR="00000000" w:rsidRPr="00000000">
        <w:rPr>
          <w:rtl w:val="0"/>
        </w:rPr>
      </w:r>
    </w:p>
    <w:p w:rsidR="00000000" w:rsidDel="00000000" w:rsidP="00000000" w:rsidRDefault="00000000" w:rsidRPr="00000000" w14:paraId="0000003E">
      <w:pPr>
        <w:numPr>
          <w:ilvl w:val="0"/>
          <w:numId w:val="1"/>
        </w:numPr>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Blindness Statistics. (n.d.). Retrieved January 21, 2018,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https://nfb.org/blindness-statistics</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3F">
      <w:pPr>
        <w:numPr>
          <w:ilvl w:val="0"/>
          <w:numId w:val="1"/>
        </w:numPr>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Russomanno, A., Omodhrain, S., Gillespie, R. B., &amp; Rodger, M. W. (2015). Refreshing Refreshable Braille Displays. </w:t>
      </w:r>
      <w:r w:rsidDel="00000000" w:rsidR="00000000" w:rsidRPr="00000000">
        <w:rPr>
          <w:rFonts w:ascii="Times New Roman" w:cs="Times New Roman" w:eastAsia="Times New Roman" w:hAnsi="Times New Roman"/>
          <w:i w:val="1"/>
          <w:color w:val="333333"/>
          <w:sz w:val="24"/>
          <w:szCs w:val="24"/>
          <w:highlight w:val="white"/>
          <w:rtl w:val="0"/>
        </w:rPr>
        <w:t xml:space="preserve">IEEE Transactions on Haptics,8</w:t>
      </w:r>
      <w:r w:rsidDel="00000000" w:rsidR="00000000" w:rsidRPr="00000000">
        <w:rPr>
          <w:rFonts w:ascii="Times New Roman" w:cs="Times New Roman" w:eastAsia="Times New Roman" w:hAnsi="Times New Roman"/>
          <w:color w:val="333333"/>
          <w:sz w:val="24"/>
          <w:szCs w:val="24"/>
          <w:highlight w:val="white"/>
          <w:rtl w:val="0"/>
        </w:rPr>
        <w:t xml:space="preserve">(3), 287-297. doi:10.1109/toh.2015.2423492</w:t>
      </w: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fb.org/blindness-statistics" TargetMode="External"/><Relationship Id="rId9" Type="http://schemas.openxmlformats.org/officeDocument/2006/relationships/hyperlink" Target="http://www.afb.org/prodBrowseCatResults.aspx?CatID=43" TargetMode="External"/><Relationship Id="rId5" Type="http://schemas.openxmlformats.org/officeDocument/2006/relationships/styles" Target="styles.xml"/><Relationship Id="rId6" Type="http://schemas.openxmlformats.org/officeDocument/2006/relationships/hyperlink" Target="mailto:pr.russell.ro@gmail.com" TargetMode="External"/><Relationship Id="rId7" Type="http://schemas.openxmlformats.org/officeDocument/2006/relationships/hyperlink" Target="mailto:adamwalker567123@gmail.com" TargetMode="External"/><Relationship Id="rId8" Type="http://schemas.openxmlformats.org/officeDocument/2006/relationships/hyperlink" Target="http://www.who.int/mediacentre/factsheets/fs282/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