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7BB0A">
      <w:pPr>
        <w:pStyle w:val="21"/>
        <w:spacing w:before="62" w:after="62"/>
        <w:ind w:firstLine="480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eastAsia="zh-CN"/>
        </w:rPr>
        <w:t xml:space="preserve">3.3 </w:t>
      </w:r>
      <w:r>
        <w:rPr>
          <w:rFonts w:hint="eastAsia" w:ascii="Times New Roman" w:hAnsi="Times New Roman"/>
        </w:rPr>
        <w:t>基于动态权重分配的多模态信息平衡技术</w:t>
      </w:r>
    </w:p>
    <w:p w14:paraId="29126AB7">
      <w:pPr>
        <w:pStyle w:val="18"/>
        <w:rPr>
          <w:rFonts w:hint="eastAsia" w:ascii="Times New Roman" w:hAnsi="Times New Roman" w:eastAsia="等线"/>
          <w:lang w:eastAsia="zh-CN"/>
        </w:rPr>
      </w:pPr>
      <w:r>
        <w:rPr>
          <w:rFonts w:hint="eastAsia" w:ascii="Times New Roman" w:hAnsi="Times New Roman" w:eastAsia="等线"/>
          <w:lang w:eastAsia="zh-CN"/>
        </w:rPr>
        <w:drawing>
          <wp:inline distT="0" distB="0" distL="114300" distR="114300">
            <wp:extent cx="5416550" cy="3018155"/>
            <wp:effectExtent l="0" t="0" r="12700" b="1079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4714">
      <w:pPr>
        <w:pStyle w:val="22"/>
        <w:bidi w:val="0"/>
        <w:jc w:val="center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图1 多模态信息平衡模块架构图</w:t>
      </w:r>
    </w:p>
    <w:p w14:paraId="104CD146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模态不平衡问题是指在优化过程中，主导模态会抑制其他模态性能的现象。为解决这一问题，我们设计了多模态信息平衡（MIB）模块，在各模态的优化过程中动态地为它们分配权重，自适应地调节模型的优化过程，以实现模态平衡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如图1所示</w:t>
      </w:r>
      <w:r>
        <w:rPr>
          <w:rFonts w:ascii="Times New Roman" w:hAnsi="Times New Roman"/>
        </w:rPr>
        <w:t>。</w:t>
      </w:r>
    </w:p>
    <w:p w14:paraId="2871ED21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对于</w:t>
      </w:r>
      <m:oMath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ascii="Times New Roman" w:hAnsi="Times New Roman"/>
        </w:rPr>
        <w:t>的每个通道，其参数为</w:t>
      </w:r>
      <m:oMath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ascii="Times New Roman" w:hAnsi="Times New Roman"/>
        </w:rPr>
        <w:t>，梯度更新过程由下式表示：</w:t>
      </w:r>
    </w:p>
    <w:p w14:paraId="5CB5A492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θ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ℎ+1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=</m:t>
          </m:r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θ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−λ</m:t>
          </m:r>
          <m:sSup>
            <m:sSupPr>
              <m:ctrlPr>
                <w:rPr>
                  <w:rFonts w:hint="default" w:ascii="Cambria Math" w:hAnsi="Cambria Math"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hint="default" w:ascii="Cambria Math" w:hAnsi="Cambria Math"/>
                      <w:sz w:val="22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g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acc>
              <m:ctrlPr>
                <w:rPr>
                  <w:rFonts w:hint="default" w:ascii="Cambria Math" w:hAnsi="Cambria Math"/>
                  <w:sz w:val="22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hint="default" w:ascii="Cambria Math" w:hAnsi="Cambria Math"/>
                  <w:sz w:val="22"/>
                </w:rPr>
              </m:ctrlPr>
            </m:sup>
          </m:sSup>
          <m:r>
            <m:rPr/>
            <w:rPr>
              <w:rFonts w:hint="default" w:ascii="Cambria Math" w:hAnsi="Cambria Math"/>
              <w:sz w:val="22"/>
            </w:rPr>
            <m:t>(</m:t>
          </m:r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θ</m:t>
              </m:r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hint="default"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)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 xml:space="preserve">  </m:t>
          </m:r>
          <m:r>
            <m:rPr/>
            <w:rPr>
              <w:rFonts w:hint="default" w:ascii="Cambria Math" w:hAnsi="Cambria Math"/>
              <w:sz w:val="22"/>
            </w:rPr>
            <m:t>(1)</m:t>
          </m:r>
        </m:oMath>
      </m:oMathPara>
    </w:p>
    <w:p w14:paraId="5F8FF7C1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其中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是第</w:t>
      </w:r>
      <m:oMath>
        <m:r>
          <m:rPr/>
          <w:rPr>
            <w:rFonts w:hint="default" w:ascii="Cambria Math" w:hAnsi="Cambria Math"/>
            <w:sz w:val="22"/>
          </w:rPr>
          <m:t>ℎ</m:t>
        </m:r>
      </m:oMath>
      <w:r>
        <w:rPr>
          <w:rFonts w:ascii="Times New Roman" w:hAnsi="Times New Roman"/>
        </w:rPr>
        <w:t>次迭代更新后的参数。</w:t>
      </w:r>
    </w:p>
    <w:p w14:paraId="5E3A9B03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我们通过更精细地监测信息，自适应地调整每个模态的梯度。这些信息可以表述为每个模态的特定信息，对数几率得分（logit score）能直接反映不同模态的激活程度。因此，在本文中，我们计算每个模态的模式视图和语义视图的对数几率得分，以探究每个模态的信息量。对数几率得分包含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(</m:t>
        </m:r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z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i(ℎ)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  <m:r>
          <m:rPr/>
          <w:rPr>
            <w:rFonts w:hint="default" w:ascii="Cambria Math" w:hAnsi="Cambria Math"/>
            <w:sz w:val="22"/>
          </w:rPr>
          <m:t>;</m:t>
        </m:r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  <m:r>
          <m:rPr/>
          <w:rPr>
            <w:rFonts w:hint="default" w:ascii="Cambria Math" w:hAnsi="Cambria Math"/>
            <w:sz w:val="22"/>
          </w:rPr>
          <m:t>)+</m:t>
        </m:r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b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2"/>
                  </w:rPr>
                  <m:t>ℎ</m:t>
                </m:r>
                <m:ctrlPr>
                  <w:rPr>
                    <w:rFonts w:ascii="Cambria Math" w:hAnsi="Cambria Math"/>
                    <w:sz w:val="22"/>
                  </w:rPr>
                </m:ctrlPr>
              </m:sub>
            </m:sSub>
            <m:ctrlPr>
              <w:rPr>
                <w:rFonts w:hint="default" w:ascii="Cambria Math" w:hAnsi="Cambria Math"/>
                <w:sz w:val="22"/>
              </w:rPr>
            </m:ctrlPr>
          </m:num>
          <m:den>
            <m:r>
              <m:rPr/>
              <w:rPr>
                <w:rFonts w:hint="default" w:ascii="Cambria Math" w:hAnsi="Cambria Math"/>
                <w:sz w:val="22"/>
              </w:rPr>
              <m:t>4</m:t>
            </m:r>
            <m:ctrlPr>
              <w:rPr>
                <w:rFonts w:hint="default" w:ascii="Cambria Math" w:hAnsi="Cambria Math"/>
                <w:sz w:val="22"/>
              </w:rPr>
            </m:ctrlPr>
          </m:den>
        </m:f>
      </m:oMath>
      <w:r>
        <w:rPr>
          <w:rFonts w:ascii="Times New Roman" w:hAnsi="Times New Roman"/>
        </w:rPr>
        <w:t>，其中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W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和</w:t>
      </w:r>
      <m:oMath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sz w:val="22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b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2"/>
                  </w:rPr>
                  <m:t>ℎ</m:t>
                </m:r>
                <m:ctrlPr>
                  <w:rPr>
                    <w:rFonts w:ascii="Cambria Math" w:hAnsi="Cambria Math"/>
                    <w:sz w:val="22"/>
                  </w:rPr>
                </m:ctrlPr>
              </m:sub>
            </m:sSub>
            <m:ctrlPr>
              <w:rPr>
                <w:rFonts w:hint="default" w:ascii="Cambria Math" w:hAnsi="Cambria Math"/>
                <w:sz w:val="22"/>
              </w:rPr>
            </m:ctrlPr>
          </m:num>
          <m:den>
            <m:r>
              <m:rPr/>
              <w:rPr>
                <w:rFonts w:hint="default" w:ascii="Cambria Math" w:hAnsi="Cambria Math"/>
                <w:sz w:val="22"/>
              </w:rPr>
              <m:t>4</m:t>
            </m:r>
            <m:ctrlPr>
              <w:rPr>
                <w:rFonts w:hint="default" w:ascii="Cambria Math" w:hAnsi="Cambria Math"/>
                <w:sz w:val="22"/>
              </w:rPr>
            </m:ctrlPr>
          </m:den>
        </m:f>
      </m:oMath>
      <w:r>
        <w:rPr>
          <w:rFonts w:ascii="Times New Roman" w:hAnsi="Times New Roman"/>
        </w:rPr>
        <w:t>是</w:t>
      </w:r>
      <m:oMath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ascii="Times New Roman" w:hAnsi="Times New Roman"/>
        </w:rPr>
        <w:t>的参数，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z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i(ℎ)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表示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中的第</w:t>
      </w:r>
      <m:oMath>
        <m:r>
          <m:rPr/>
          <w:rPr>
            <w:rFonts w:hint="default" w:ascii="Cambria Math" w:hAnsi="Cambria Math"/>
            <w:sz w:val="22"/>
          </w:rPr>
          <m:t>i</m:t>
        </m:r>
      </m:oMath>
      <w:r>
        <w:rPr>
          <w:rFonts w:ascii="Times New Roman" w:hAnsi="Times New Roman"/>
        </w:rPr>
        <w:t>个特征，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是第</w:t>
      </w:r>
      <m:oMath>
        <m:r>
          <m:rPr/>
          <w:rPr>
            <w:rFonts w:hint="default" w:ascii="Cambria Math" w:hAnsi="Cambria Math"/>
            <w:sz w:val="22"/>
          </w:rPr>
          <m:t>ℎ</m:t>
        </m:r>
      </m:oMath>
      <w:r>
        <w:rPr>
          <w:rFonts w:ascii="Times New Roman" w:hAnsi="Times New Roman"/>
        </w:rPr>
        <w:t>次迭代中的一个随机批次。我们定义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来进一步量化不同模态视图的信息：</w:t>
      </w:r>
    </w:p>
    <w:p w14:paraId="1C716399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s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i(ℎ)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2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2"/>
                </w:rPr>
                <m:t>K=1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M</m:t>
              </m:r>
              <m:ctrlPr>
                <w:rPr>
                  <w:rFonts w:ascii="Cambria Math" w:hAnsi="Cambria Math"/>
                  <w:sz w:val="22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sz w:val="22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1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2"/>
                    </w:rPr>
                    <m:t>K=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 w:val="22"/>
                    </w:rPr>
                  </m:ctrlPr>
                </m:sub>
              </m:sSub>
              <m:ctrlPr>
                <w:rPr>
                  <w:rFonts w:hint="default" w:ascii="Cambria Math" w:hAnsi="Cambria Math"/>
                  <w:sz w:val="22"/>
                </w:rPr>
              </m:ctrlPr>
            </m:e>
          </m:nary>
          <m:r>
            <m:rPr/>
            <w:rPr>
              <w:rFonts w:hint="default" w:ascii="Cambria Math" w:hAnsi="Cambria Math"/>
              <w:sz w:val="22"/>
            </w:rPr>
            <m:t>softmax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hint="default" w:ascii="Cambria Math" w:hAnsi="Cambria Math"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bSup>
                  <m:sSup>
                    <m:sSup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i(ℎ)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ℎ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ℎ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sz w:val="22"/>
                    </w:rPr>
                  </m:ctrlPr>
                </m:e>
              </m:d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K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</m:oMath>
      </m:oMathPara>
    </w:p>
    <w:p w14:paraId="003CE460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其中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i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∈{1,2,…,M}</m:t>
        </m:r>
      </m:oMath>
      <w:r>
        <w:rPr>
          <w:rFonts w:ascii="Times New Roman" w:hAnsi="Times New Roman"/>
        </w:rPr>
        <w:t xml:space="preserve"> ，</w:t>
      </w:r>
      <m:oMath>
        <m:r>
          <m:rPr/>
          <w:rPr>
            <w:rFonts w:hint="default" w:ascii="Cambria Math" w:hAnsi="Cambria Math"/>
            <w:sz w:val="22"/>
          </w:rPr>
          <m:t>M</m:t>
        </m:r>
      </m:oMath>
      <w:r>
        <w:rPr>
          <w:rFonts w:ascii="Times New Roman" w:hAnsi="Times New Roman"/>
        </w:rPr>
        <w:t>是类别数。</w:t>
      </w:r>
    </w:p>
    <w:p w14:paraId="3D498D08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我们设计差异率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ρ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来衡量各模态对优化过程的影响：</w:t>
      </w:r>
    </w:p>
    <w:p w14:paraId="327255E4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ρ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Cambria Math" w:hAnsi="Cambria Math"/>
                      <w:sz w:val="22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2"/>
                    </w:rPr>
                    <m:t>i∈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 w:val="22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sz w:val="22"/>
                    </w:rPr>
                  </m:ctrlPr>
                </m:sup>
                <m:e>
                  <m:sSubSup>
                    <m:sSubSup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i(ℎ)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sz w:val="22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2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Cambria Math" w:hAnsi="Cambria Math"/>
                      <w:sz w:val="22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sz w:val="22"/>
                    </w:rPr>
                    <m:t>i∈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 w:val="22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sz w:val="22"/>
                    </w:rPr>
                  </m:ctrlPr>
                </m:sup>
                <m:e>
                  <m:d>
                    <m:d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i(ℎ)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i(ℎ)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i(ℎ)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i(ℎ)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sz w:val="22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2"/>
                </w:rPr>
              </m:ctrlPr>
            </m:den>
          </m:f>
        </m:oMath>
      </m:oMathPara>
    </w:p>
    <w:p w14:paraId="31FD9FD0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ρ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越大，与其他模态视图相比，相应模态视图中的信息量就越大，从而导致模态不平衡。</w:t>
      </w:r>
    </w:p>
    <w:p w14:paraId="153B2865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信息量较大的模态在模型的优化过程中起着主导作用</w:t>
      </w:r>
      <w:r>
        <w:rPr>
          <w:rFonts w:hint="default" w:ascii="Times New Roman" w:hAnsi="Times New Roman"/>
          <w:vertAlign w:val="superscript"/>
        </w:rPr>
        <w:fldChar w:fldCharType="begin"/>
      </w:r>
      <w:r>
        <w:rPr>
          <w:rFonts w:hint="default" w:ascii="Times New Roman" w:hAnsi="Times New Roman"/>
          <w:vertAlign w:val="superscript"/>
        </w:rPr>
        <w:instrText xml:space="preserve"> REF _Ref15966 \n \h </w:instrText>
      </w:r>
      <w:r>
        <w:rPr>
          <w:rFonts w:hint="default" w:ascii="Times New Roman" w:hAnsi="Times New Roman"/>
          <w:vertAlign w:val="superscript"/>
        </w:rPr>
        <w:fldChar w:fldCharType="separate"/>
      </w:r>
      <w:r>
        <w:rPr>
          <w:rFonts w:hint="default" w:ascii="Times New Roman" w:hAnsi="Times New Roman"/>
          <w:vertAlign w:val="superscript"/>
        </w:rPr>
        <w:t>[1]</w:t>
      </w:r>
      <w:r>
        <w:rPr>
          <w:rFonts w:hint="default" w:ascii="Times New Roman" w:hAnsi="Times New Roman"/>
          <w:vertAlign w:val="superscript"/>
        </w:rPr>
        <w:fldChar w:fldCharType="end"/>
      </w:r>
      <w:r>
        <w:rPr>
          <w:rFonts w:hint="default" w:ascii="Times New Roman" w:hAnsi="Times New Roman"/>
          <w:vertAlign w:val="superscript"/>
        </w:rPr>
        <w:fldChar w:fldCharType="begin"/>
      </w:r>
      <w:r>
        <w:rPr>
          <w:rFonts w:hint="default" w:ascii="Times New Roman" w:hAnsi="Times New Roman"/>
          <w:vertAlign w:val="superscript"/>
        </w:rPr>
        <w:instrText xml:space="preserve"> REF _Ref15973 \n \h </w:instrText>
      </w:r>
      <w:r>
        <w:rPr>
          <w:rFonts w:hint="default" w:ascii="Times New Roman" w:hAnsi="Times New Roman"/>
          <w:vertAlign w:val="superscript"/>
        </w:rPr>
        <w:fldChar w:fldCharType="separate"/>
      </w:r>
      <w:r>
        <w:rPr>
          <w:rFonts w:hint="default" w:ascii="Times New Roman" w:hAnsi="Times New Roman"/>
          <w:vertAlign w:val="superscript"/>
        </w:rPr>
        <w:t>[2]</w:t>
      </w:r>
      <w:r>
        <w:rPr>
          <w:rFonts w:hint="default" w:ascii="Times New Roman" w:hAnsi="Times New Roman"/>
          <w:vertAlign w:val="superscript"/>
        </w:rPr>
        <w:fldChar w:fldCharType="end"/>
      </w:r>
      <w:r>
        <w:rPr>
          <w:rFonts w:hint="default" w:ascii="Times New Roman" w:hAnsi="Times New Roman"/>
          <w:vertAlign w:val="superscript"/>
        </w:rPr>
        <w:fldChar w:fldCharType="begin"/>
      </w:r>
      <w:r>
        <w:rPr>
          <w:rFonts w:hint="default" w:ascii="Times New Roman" w:hAnsi="Times New Roman"/>
          <w:vertAlign w:val="superscript"/>
        </w:rPr>
        <w:instrText xml:space="preserve"> REF _Ref15976 \n \h </w:instrText>
      </w:r>
      <w:r>
        <w:rPr>
          <w:rFonts w:hint="default" w:ascii="Times New Roman" w:hAnsi="Times New Roman"/>
          <w:vertAlign w:val="superscript"/>
        </w:rPr>
        <w:fldChar w:fldCharType="separate"/>
      </w:r>
      <w:r>
        <w:rPr>
          <w:rFonts w:hint="default" w:ascii="Times New Roman" w:hAnsi="Times New Roman"/>
          <w:vertAlign w:val="superscript"/>
        </w:rPr>
        <w:t>[3]</w:t>
      </w:r>
      <w:r>
        <w:rPr>
          <w:rFonts w:hint="default" w:ascii="Times New Roman" w:hAnsi="Times New Roman"/>
          <w:vertAlign w:val="superscript"/>
        </w:rPr>
        <w:fldChar w:fldCharType="end"/>
      </w:r>
      <w:r>
        <w:rPr>
          <w:rFonts w:ascii="Times New Roman" w:hAnsi="Times New Roman"/>
        </w:rPr>
        <w:t>，并抑制其他模态的优化过程。因此，我们设计平衡因子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k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来平衡各模态的优化过程。</w:t>
      </w:r>
    </w:p>
    <w:p w14:paraId="4D676935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 w:ascii="Times New Roman" w:hAnsi="Times New Roman" w:eastAsia="等线"/>
          <w:lang w:val="en-US" w:eastAsia="zh-CN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k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  <m:ctrlPr>
                    <w:rPr>
                      <w:rFonts w:hint="default" w:ascii="Cambria Math" w:hAnsi="Cambria Math"/>
                      <w:sz w:val="22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  <w:sz w:val="22"/>
                      </w:rPr>
                      <m:t>1−</m:t>
                    </m:r>
                    <m:func>
                      <m:funcPr>
                        <m:ctrlPr>
                          <w:rPr>
                            <w:rFonts w:hint="default" w:ascii="Cambria Math" w:hAnsi="Cambria Math"/>
                            <w:sz w:val="22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tanℎ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(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  <m:sSub>
                      <m:sSubPr>
                        <m:ctrlPr>
                          <w:rPr>
                            <w:rFonts w:hint="default"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default"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/>
                        <w:sz w:val="22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sz w:val="22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hint="default"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/>
                        <w:sz w:val="22"/>
                      </w:rPr>
                      <m:t>&gt;</m:t>
                    </m:r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  <w:sz w:val="22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sz w:val="22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sz w:val="22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22"/>
                        <w:lang w:val="en-US" w:eastAsia="zh-CN"/>
                      </w:rPr>
                      <m:t>otℎers.</m:t>
                    </m:r>
                    <m:ctrlPr>
                      <w:rPr>
                        <w:rFonts w:hint="default" w:ascii="Cambria Math" w:hAnsi="Cambria Math"/>
                        <w:i/>
                        <w:sz w:val="22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2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2"/>
              <w:lang w:val="en-US" w:eastAsia="zh-CN"/>
            </w:rPr>
            <m:t>,</m:t>
          </m:r>
        </m:oMath>
      </m:oMathPara>
    </w:p>
    <w:p w14:paraId="79B74D58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然后，我们将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k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整合到公式 (1) 中。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的更新过程如下：</w:t>
      </w:r>
    </w:p>
    <w:p w14:paraId="000D154F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θ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ℎ+1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=</m:t>
          </m:r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θ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−λ</m:t>
          </m:r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k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hint="default" w:ascii="Cambria Math" w:hAnsi="Cambria Math"/>
                      <w:sz w:val="22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g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acc>
              <m:ctrlPr>
                <w:rPr>
                  <w:rFonts w:hint="default" w:ascii="Cambria Math" w:hAnsi="Cambria Math"/>
                  <w:sz w:val="22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hint="default" w:ascii="Cambria Math" w:hAnsi="Cambria Math"/>
                  <w:sz w:val="22"/>
                </w:rPr>
              </m:ctrlPr>
            </m:sup>
          </m:sSup>
          <m:r>
            <m:rPr/>
            <w:rPr>
              <w:rFonts w:hint="default" w:ascii="Cambria Math" w:hAnsi="Cambria Math"/>
              <w:sz w:val="22"/>
            </w:rPr>
            <m:t>(</m:t>
          </m:r>
          <m:sSubSup>
            <m:sSubSupPr>
              <m:ctrlPr>
                <w:rPr>
                  <w:rFonts w:hint="default" w:ascii="Cambria Math" w:hAnsi="Cambria Math"/>
                  <w:sz w:val="22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sz w:val="22"/>
                </w:rPr>
                <m:t>θ</m:t>
              </m:r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ℎ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u</m:t>
              </m:r>
              <m:ctrlPr>
                <w:rPr>
                  <w:rFonts w:hint="default" w:ascii="Cambria Math" w:hAnsi="Cambria Math"/>
                  <w:sz w:val="22"/>
                </w:rPr>
              </m:ctrlPr>
            </m:sup>
          </m:sSubSup>
          <m:r>
            <m:rPr/>
            <w:rPr>
              <w:rFonts w:hint="default" w:ascii="Cambria Math" w:hAnsi="Cambria Math"/>
              <w:sz w:val="22"/>
            </w:rPr>
            <m:t>)</m:t>
          </m:r>
          <m:r>
            <m:rPr>
              <m:sty m:val="p"/>
            </m:rPr>
            <w:rPr>
              <w:rFonts w:hint="default" w:ascii="Cambria Math" w:hAnsi="Cambria Math"/>
              <w:sz w:val="22"/>
            </w:rPr>
            <m:t xml:space="preserve">  </m:t>
          </m:r>
          <m:r>
            <m:rPr/>
            <w:rPr>
              <w:rFonts w:hint="default" w:ascii="Cambria Math" w:hAnsi="Cambria Math"/>
              <w:sz w:val="22"/>
            </w:rPr>
            <m:t>(5)</m:t>
          </m:r>
        </m:oMath>
      </m:oMathPara>
    </w:p>
    <w:p w14:paraId="79FA6941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通过使用</w:t>
      </w:r>
      <m:oMath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k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</m:oMath>
      <w:r>
        <w:rPr>
          <w:rFonts w:ascii="Times New Roman" w:hAnsi="Times New Roman"/>
        </w:rPr>
        <w:t>，我们抑制了性能较好</w:t>
      </w:r>
      <m:oMath>
        <m:r>
          <m:rPr>
            <m:sty m:val="p"/>
          </m:rPr>
          <w:rPr>
            <w:rFonts w:hint="default" w:ascii="Cambria Math" w:hAnsi="Cambria Math"/>
            <w:sz w:val="22"/>
          </w:rPr>
          <m:t>（</m:t>
        </m:r>
        <m:sSubSup>
          <m:sSubSupPr>
            <m:ctrlPr>
              <w:rPr>
                <w:rFonts w:hint="default" w:ascii="Cambria Math" w:hAnsi="Cambria Math"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ρ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</w:rPr>
              <m:t>u</m:t>
            </m:r>
            <m:ctrlPr>
              <w:rPr>
                <w:rFonts w:ascii="Cambria Math" w:hAnsi="Cambria Math"/>
                <w:sz w:val="22"/>
              </w:rPr>
            </m:ctrlPr>
          </m:sup>
        </m:sSubSup>
        <m:r>
          <m:rPr/>
          <w:rPr>
            <w:rFonts w:hint="default" w:ascii="Cambria Math" w:hAnsi="Cambria Math"/>
            <w:sz w:val="22"/>
          </w:rPr>
          <m:t>&gt;</m:t>
        </m:r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hint="default" w:ascii="Cambria Math" w:hAnsi="Cambria Math"/>
                <w:sz w:val="22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2"/>
          </w:rPr>
          <m:t>）</m:t>
        </m:r>
      </m:oMath>
      <w:r>
        <w:rPr>
          <w:rFonts w:ascii="Times New Roman" w:hAnsi="Times New Roman"/>
        </w:rPr>
        <w:t>的模态视图的优化，而性能较差的模态视图则不受影响。</w:t>
      </w:r>
    </w:p>
    <w:p w14:paraId="21D8A086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在获取</w:t>
      </w:r>
      <w:r>
        <w:rPr>
          <w:rFonts w:hint="eastAsia" w:ascii="Times New Roman" w:hAnsi="Times New Roman"/>
          <w:lang w:val="en-US" w:eastAsia="zh-CN"/>
        </w:rPr>
        <w:t>多模态</w:t>
      </w:r>
      <w:r>
        <w:rPr>
          <w:rFonts w:ascii="Times New Roman" w:hAnsi="Times New Roman"/>
        </w:rPr>
        <w:t xml:space="preserve">的融合特征后，我们将其输入到一个分类器中，该分类器包含一层多层感知器（MLP）和 </w:t>
      </w:r>
      <m:oMath>
        <m:r>
          <m:rPr/>
          <w:rPr>
            <w:rFonts w:hint="default" w:ascii="Cambria Math" w:hAnsi="Cambria Math"/>
            <w:sz w:val="22"/>
          </w:rPr>
          <m:t>ReL</m:t>
        </m:r>
        <m:r>
          <m:rPr/>
          <w:rPr>
            <w:rFonts w:hint="default" w:ascii="Cambria Math" w:hAnsi="Cambria Math"/>
            <w:sz w:val="22"/>
            <w:lang w:val="en-US" w:eastAsia="zh-CN"/>
          </w:rPr>
          <m:t>u</m:t>
        </m:r>
      </m:oMath>
      <w:r>
        <w:rPr>
          <w:rFonts w:ascii="Times New Roman" w:hAnsi="Times New Roman"/>
        </w:rPr>
        <w:t>激活函数，以获得预测标签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acc>
              <m:accPr>
                <m:ctrlPr>
                  <w:rPr>
                    <w:rFonts w:hint="default" w:ascii="Cambria Math" w:hAnsi="Cambria Math"/>
                    <w:sz w:val="22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22"/>
                  </w:rPr>
                  <m:t>y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acc>
            <m:ctrlPr>
              <w:rPr>
                <w:rFonts w:hint="default"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hint="default"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：</w:t>
      </w:r>
    </w:p>
    <w:p w14:paraId="54D8F285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/>
                      <w:sz w:val="22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y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acc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n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=C(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x</m:t>
              </m:r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n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;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θ</m:t>
              </m:r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c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)</m:t>
          </m:r>
        </m:oMath>
      </m:oMathPara>
    </w:p>
    <w:p w14:paraId="5150C574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其中</w:t>
      </w:r>
      <m:oMath>
        <m:r>
          <m:rPr/>
          <w:rPr>
            <w:rFonts w:hint="default" w:ascii="Cambria Math" w:hAnsi="Cambria Math"/>
            <w:sz w:val="22"/>
          </w:rPr>
          <m:t>C(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;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</m:oMath>
      <w:r>
        <w:rPr>
          <w:rFonts w:ascii="Times New Roman" w:hAnsi="Times New Roman"/>
        </w:rPr>
        <w:t>是分类器，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是分类器的参数。</w:t>
      </w:r>
    </w:p>
    <w:p w14:paraId="1EFD8797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为了增强模型的分类能力，我们最小化交叉熵损失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L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：</w:t>
      </w:r>
    </w:p>
    <w:p w14:paraId="505C8853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L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c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=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y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n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func>
            <m:funcPr>
              <m:ctrlPr>
                <w:rPr>
                  <w:rFonts w:hint="default"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/>
                  <w:sz w:val="22"/>
                </w:rPr>
                <m:t>log</m:t>
              </m:r>
              <m:ctrlPr>
                <w:rPr>
                  <w:rFonts w:ascii="Cambria Math" w:hAnsi="Cambria Math"/>
                  <w:sz w:val="22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2"/>
                </w:rPr>
                <m:t>(</m:t>
              </m:r>
              <m:ctrlPr>
                <w:rPr>
                  <w:rFonts w:ascii="Cambria Math" w:hAnsi="Cambria Math"/>
                  <w:sz w:val="22"/>
                </w:rPr>
              </m:ctrlPr>
            </m:e>
          </m:func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/>
                      <w:sz w:val="22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y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acc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n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)+(1−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y</m:t>
              </m:r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n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)</m:t>
          </m:r>
          <m:func>
            <m:funcPr>
              <m:ctrlPr>
                <w:rPr>
                  <w:rFonts w:hint="default"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/>
                  <w:sz w:val="22"/>
                </w:rPr>
                <m:t>log</m:t>
              </m:r>
              <m:ctrlPr>
                <w:rPr>
                  <w:rFonts w:hint="default" w:ascii="Cambria Math" w:hAnsi="Cambria Math"/>
                  <w:sz w:val="22"/>
                </w:rPr>
              </m:ctrlPr>
            </m:fName>
            <m:e>
              <m:r>
                <m:rPr/>
                <w:rPr>
                  <w:rFonts w:hint="default" w:ascii="Cambria Math" w:hAnsi="Cambria Math"/>
                  <w:sz w:val="22"/>
                </w:rPr>
                <m:t>(</m:t>
              </m:r>
              <m:ctrlPr>
                <w:rPr>
                  <w:rFonts w:hint="default" w:ascii="Cambria Math" w:hAnsi="Cambria Math"/>
                  <w:sz w:val="22"/>
                </w:rPr>
              </m:ctrlPr>
            </m:e>
          </m:func>
          <m:r>
            <m:rPr/>
            <w:rPr>
              <w:rFonts w:hint="default" w:ascii="Cambria Math" w:hAnsi="Cambria Math"/>
              <w:sz w:val="22"/>
            </w:rPr>
            <m:t>1−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/>
                      <w:sz w:val="22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2"/>
                    </w:rPr>
                    <m:t>y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acc>
              <m:ctrlPr>
                <w:rPr>
                  <w:rFonts w:hint="default"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n</m:t>
              </m:r>
              <m:ctrlPr>
                <w:rPr>
                  <w:rFonts w:hint="default"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)</m:t>
          </m:r>
        </m:oMath>
      </m:oMathPara>
    </w:p>
    <w:p w14:paraId="137C77AE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为了增强特征</w:t>
      </w:r>
      <m:oMath>
        <m:r>
          <m:rPr/>
          <w:rPr>
            <w:rFonts w:hint="default" w:ascii="Cambria Math" w:hAnsi="Cambria Math"/>
            <w:sz w:val="22"/>
            <w:lang w:val="en-US" w:eastAsia="zh-CN"/>
          </w:rPr>
          <m:t>X</m:t>
        </m:r>
      </m:oMath>
      <w:r>
        <w:rPr>
          <w:rFonts w:ascii="Times New Roman" w:hAnsi="Times New Roman"/>
        </w:rPr>
        <w:t>的判别能力，我们采用跨模态监督对比损失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L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。</w:t>
      </w:r>
      <m:oMath>
        <m:r>
          <m:rPr/>
          <w:rPr>
            <w:rFonts w:hint="default" w:ascii="Cambria Math" w:hAnsi="Cambria Math"/>
            <w:sz w:val="22"/>
          </w:rPr>
          <m:t>P(n)</m:t>
        </m:r>
      </m:oMath>
      <w:r>
        <w:rPr>
          <w:rFonts w:ascii="Times New Roman" w:hAnsi="Times New Roman"/>
        </w:rPr>
        <w:t>是</w:t>
      </w:r>
      <m:oMath>
        <m:r>
          <m:rPr/>
          <w:rPr>
            <w:rFonts w:hint="default" w:ascii="Cambria Math" w:hAnsi="Cambria Math"/>
            <w:sz w:val="22"/>
            <w:lang w:val="en-US" w:eastAsia="zh-CN"/>
          </w:rPr>
          <m:t>X</m:t>
        </m:r>
      </m:oMath>
      <w:r>
        <w:rPr>
          <w:rFonts w:ascii="Times New Roman" w:hAnsi="Times New Roman"/>
        </w:rPr>
        <w:t>中与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属于同一类别的索引集，</w:t>
      </w:r>
      <m:oMath>
        <m:r>
          <m:rPr/>
          <w:rPr>
            <w:rFonts w:hint="default" w:ascii="Cambria Math" w:hAnsi="Cambria Math"/>
            <w:sz w:val="22"/>
          </w:rPr>
          <m:t>A(n)</m:t>
        </m:r>
      </m:oMath>
      <w:r>
        <w:rPr>
          <w:rFonts w:ascii="Times New Roman" w:hAnsi="Times New Roman"/>
        </w:rPr>
        <w:t>是</w:t>
      </w:r>
      <m:oMath>
        <m:r>
          <m:rPr/>
          <w:rPr>
            <w:rFonts w:hint="default" w:ascii="Cambria Math" w:hAnsi="Cambria Math"/>
            <w:sz w:val="22"/>
            <w:lang w:val="en-US" w:eastAsia="zh-CN"/>
          </w:rPr>
          <m:t>X</m:t>
        </m:r>
      </m:oMath>
      <w:r>
        <w:rPr>
          <w:rFonts w:ascii="Times New Roman" w:hAnsi="Times New Roman"/>
        </w:rPr>
        <w:t>中与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类别不同的索引集。</w:t>
      </w:r>
    </w:p>
    <w:p w14:paraId="766B3ABD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L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s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2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2"/>
                </w:rPr>
                <m:t>n=1</m:t>
              </m:r>
              <m:ctrlPr>
                <w:rPr>
                  <w:rFonts w:ascii="Cambria Math" w:hAnsi="Cambria Math"/>
                  <w:sz w:val="22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2"/>
                </w:rPr>
                <m:t>N</m:t>
              </m:r>
              <m:ctrlPr>
                <w:rPr>
                  <w:rFonts w:ascii="Cambria Math" w:hAnsi="Cambria Math"/>
                  <w:sz w:val="22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/>
                      <w:i/>
                      <w:sz w:val="22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2"/>
                    </w:rPr>
                    <m:t>−1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2"/>
                    </w:rPr>
                    <m:t>|P(n)|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sz w:val="22"/>
                </w:rPr>
              </m:ctrlPr>
            </m:e>
          </m:nary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sz w:val="22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2"/>
                </w:rPr>
                <m:t>p∈P(n)</m:t>
              </m:r>
              <m:ctrlPr>
                <w:rPr>
                  <w:rFonts w:hint="default" w:ascii="Cambria Math" w:hAnsi="Cambria Math"/>
                  <w:i/>
                  <w:sz w:val="22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sz w:val="22"/>
                </w:rPr>
              </m:ctrlPr>
            </m:sup>
            <m:e>
              <m:func>
                <m:funcPr>
                  <m:ctrlPr>
                    <w:rPr>
                      <w:rFonts w:hint="default"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</w:rPr>
                    <m:t>log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sz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funcPr>
                        <m:fNam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(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</m:func>
                      <m:sSub>
                        <m:sSub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/τ)</m:t>
                      </m: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a∈A(n)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  <m:e>
                          <m:func>
                            <m:funcPr>
                              <m:ctrlPr>
                                <w:rPr>
                                  <w:rFonts w:hint="default" w:ascii="Cambria Math" w:hAnsi="Cambria Math"/>
                                  <w:sz w:val="22"/>
                                </w:rPr>
                              </m:ctrlPr>
                            </m:funcPr>
                            <m:fName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fName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</w:rPr>
                                <m:t>(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e>
                          </m:func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e>
                      </m:nary>
                      <m:sSub>
                        <m:sSub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sz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/τ)</m:t>
                      </m: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sz w:val="22"/>
                    </w:rPr>
                  </m:ctrlPr>
                </m:e>
              </m:func>
              <m:ctrlPr>
                <w:rPr>
                  <w:rFonts w:hint="default" w:ascii="Cambria Math" w:hAnsi="Cambria Math"/>
                  <w:sz w:val="22"/>
                </w:rPr>
              </m:ctrlPr>
            </m:e>
          </m:nary>
        </m:oMath>
      </m:oMathPara>
    </w:p>
    <w:p w14:paraId="2EB13B1B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其中，</w:t>
      </w:r>
      <m:oMath>
        <m:r>
          <m:rPr/>
          <w:rPr>
            <w:rFonts w:hint="default" w:ascii="Cambria Math" w:hAnsi="Cambria Math"/>
            <w:sz w:val="22"/>
          </w:rPr>
          <m:t>|P(n)|</m:t>
        </m:r>
      </m:oMath>
      <w:r>
        <w:rPr>
          <w:rFonts w:ascii="Times New Roman" w:hAnsi="Times New Roman"/>
        </w:rPr>
        <w:t>是</w:t>
      </w:r>
      <m:oMath>
        <m:r>
          <m:rPr/>
          <w:rPr>
            <w:rFonts w:hint="default" w:ascii="Cambria Math" w:hAnsi="Cambria Math"/>
            <w:sz w:val="22"/>
          </w:rPr>
          <m:t>P(n)</m:t>
        </m:r>
      </m:oMath>
      <w:r>
        <w:rPr>
          <w:rFonts w:ascii="Times New Roman" w:hAnsi="Times New Roman"/>
        </w:rPr>
        <w:t>的基数，</w:t>
      </w:r>
      <m:oMath>
        <m:r>
          <m:rPr/>
          <w:rPr>
            <w:rFonts w:hint="default" w:ascii="Cambria Math" w:hAnsi="Cambria Math"/>
            <w:sz w:val="22"/>
          </w:rPr>
          <m:t>τ</m:t>
        </m:r>
      </m:oMath>
      <w:r>
        <w:rPr>
          <w:rFonts w:ascii="Times New Roman" w:hAnsi="Times New Roman"/>
        </w:rPr>
        <w:t>是一个标量参数，根据经验设置为</w:t>
      </w:r>
      <m:oMath>
        <m:r>
          <m:rPr/>
          <w:rPr>
            <w:rFonts w:hint="default" w:ascii="Cambria Math" w:hAnsi="Cambria Math"/>
            <w:sz w:val="22"/>
          </w:rPr>
          <m:t>τ=0.5</m:t>
        </m:r>
      </m:oMath>
      <w:r>
        <w:rPr>
          <w:rFonts w:ascii="Times New Roman" w:hAnsi="Times New Roman"/>
        </w:rPr>
        <w:t>。因此，总损失可以表示为：</w:t>
      </w:r>
    </w:p>
    <w:p w14:paraId="011EB85E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L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total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=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L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c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r>
            <m:rPr/>
            <w:rPr>
              <w:rFonts w:hint="default" w:ascii="Cambria Math" w:hAnsi="Cambria Math"/>
              <w:sz w:val="22"/>
            </w:rPr>
            <m:t>+</m:t>
          </m:r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α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2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  <m:sSub>
            <m:sSubPr>
              <m:ctrlPr>
                <w:rPr>
                  <w:rFonts w:hint="default" w:ascii="Cambria Math" w:hAnsi="Cambria Math"/>
                  <w:sz w:val="22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2"/>
                </w:rPr>
                <m:t>L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2"/>
                </w:rPr>
                <m:t>s</m:t>
              </m:r>
              <m:ctrlPr>
                <w:rPr>
                  <w:rFonts w:ascii="Cambria Math" w:hAnsi="Cambria Math"/>
                  <w:sz w:val="22"/>
                </w:rPr>
              </m:ctrlPr>
            </m:sub>
          </m:sSub>
        </m:oMath>
      </m:oMathPara>
    </w:p>
    <w:p w14:paraId="5D7656A5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其中，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α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是一个平衡因子。</w:t>
      </w:r>
    </w:p>
    <w:p w14:paraId="09D3AE17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我们使用 Adam 优化器在总损失下寻找最优的网络参数。对于测试样本集</w:t>
      </w:r>
      <m:oMath>
        <m:r>
          <m:rPr/>
          <w:rPr>
            <w:rFonts w:hint="default" w:ascii="Cambria Math" w:hAnsi="Cambria Math"/>
            <w:sz w:val="22"/>
            <w:lang w:val="en-US" w:eastAsia="zh-CN"/>
          </w:rPr>
          <m:t>O</m:t>
        </m:r>
        <m:r>
          <m:rPr/>
          <w:rPr>
            <w:rFonts w:hint="default" w:ascii="Cambria Math" w:hAnsi="Cambria Math"/>
            <w:sz w:val="22"/>
          </w:rPr>
          <m:t>'</m:t>
        </m:r>
      </m:oMath>
      <w:r>
        <w:rPr>
          <w:rFonts w:ascii="Times New Roman" w:hAnsi="Times New Roman"/>
        </w:rPr>
        <w:t xml:space="preserve"> ，我们使用最优参数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、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、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、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、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ascii="Times New Roman" w:hAnsi="Times New Roman"/>
        </w:rPr>
        <w:t>、</w:t>
      </w:r>
      <m:oMath>
        <m:sSubSup>
          <m:sSubSupPr>
            <m:ctrlPr>
              <w:rPr>
                <w:rFonts w:hint="default" w:ascii="Cambria Math" w:hAnsi="Cambria Math"/>
                <w:i/>
                <w:iCs/>
                <w:sz w:val="22"/>
              </w:rPr>
            </m:ctrlPr>
          </m:sSubSupPr>
          <m:e>
            <m:r>
              <m:rPr/>
              <w:rPr>
                <w:rFonts w:hint="default" w:ascii="Cambria Math" w:hAnsi="Cambria Math"/>
                <w:sz w:val="22"/>
              </w:rPr>
              <m:t>θ</m:t>
            </m:r>
            <m:ctrlPr>
              <w:rPr>
                <w:rFonts w:ascii="Cambria Math" w:hAnsi="Cambria Math"/>
                <w:i/>
                <w:iCs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ℎ</m:t>
            </m:r>
            <m:ctrlPr>
              <w:rPr>
                <w:rFonts w:ascii="Cambria Math" w:hAnsi="Cambria Math"/>
                <w:i/>
                <w:iCs/>
                <w:sz w:val="22"/>
              </w:rPr>
            </m:ctrlPr>
          </m:sub>
          <m:sup>
            <m:r>
              <m:rPr/>
              <w:rPr>
                <w:rFonts w:hint="default" w:ascii="Cambria Math" w:hAnsi="Cambria Math"/>
                <w:sz w:val="22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iCs/>
                <w:sz w:val="22"/>
              </w:rPr>
            </m:ctrlPr>
          </m:sup>
        </m:sSubSup>
      </m:oMath>
      <w:r>
        <w:rPr>
          <w:rFonts w:ascii="Times New Roman" w:hAnsi="Times New Roman"/>
        </w:rPr>
        <w:t>来获取相应的特征</w:t>
      </w:r>
      <m:oMath>
        <m:acc>
          <m:accPr>
            <m:chr m:val="̃"/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  <w:lang w:val="en-US" w:eastAsia="zh-CN"/>
              </w:rPr>
              <m:t>O</m:t>
            </m:r>
            <m:ctrlPr>
              <w:rPr>
                <w:rFonts w:ascii="Cambria Math" w:hAnsi="Cambria Math"/>
                <w:sz w:val="22"/>
              </w:rPr>
            </m:ctrlPr>
          </m:e>
        </m:acc>
      </m:oMath>
      <w:r>
        <w:rPr>
          <w:rFonts w:ascii="Times New Roman" w:hAnsi="Times New Roman"/>
        </w:rPr>
        <w:t>，然后将这些特征输入到分类器中以获得标签</w:t>
      </w:r>
      <m:oMath>
        <m:acc>
          <m:accPr>
            <m:ctrlPr>
              <w:rPr>
                <w:rFonts w:hint="default" w:ascii="Cambria Math" w:hAnsi="Cambria Math"/>
                <w:sz w:val="22"/>
              </w:rPr>
            </m:ctrlPr>
          </m:acc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</m:acc>
        <m:r>
          <m:rPr/>
          <w:rPr>
            <w:rFonts w:hint="default" w:ascii="Cambria Math" w:hAnsi="Cambria Math"/>
            <w:sz w:val="22"/>
          </w:rPr>
          <m:t>'</m:t>
        </m:r>
      </m:oMath>
      <w:r>
        <w:rPr>
          <w:rFonts w:ascii="Times New Roman" w:hAnsi="Times New Roman"/>
        </w:rPr>
        <w:t>。通过我们的方法，可以调节每个模态的优化过程，有效缓解模态不平衡问题。</w:t>
      </w:r>
    </w:p>
    <w:p w14:paraId="42BC45CB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ascii="Times New Roman" w:hAnsi="Times New Roman"/>
        </w:rPr>
      </w:pPr>
    </w:p>
    <w:p w14:paraId="29D58817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/>
        </w:rPr>
      </w:pPr>
    </w:p>
    <w:p w14:paraId="18015846">
      <w:pPr>
        <w:pStyle w:val="18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bookmarkStart w:id="0" w:name="_Ref15966"/>
      <w:r>
        <w:rPr>
          <w:rFonts w:hint="default" w:ascii="Times New Roman" w:hAnsi="Times New Roman" w:cs="Times New Roman"/>
        </w:rPr>
        <w:t>X. Peng, Y. Wei, A. Deng, D. Wang, D. Hu, Balanced multimodal learning via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on-the-fly gradient modulation, in: IEEE/CVF Conference on Computer Vision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and Pattern Recognition, 2022, pp. 8238–8247.</w:t>
      </w:r>
      <w:bookmarkEnd w:id="0"/>
    </w:p>
    <w:p w14:paraId="5ABC5CDF">
      <w:pPr>
        <w:pStyle w:val="18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bookmarkStart w:id="1" w:name="_Ref15973"/>
      <w:r>
        <w:rPr>
          <w:rFonts w:hint="default" w:ascii="Times New Roman" w:hAnsi="Times New Roman" w:cs="Times New Roman"/>
        </w:rPr>
        <w:t>Y. Wei, R. Feng, Z. Wang, D. Hu, Enhancing multimodal cooperation via samplelevel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modality valuation, in: IEEE/CVF Conference on Computer Vision and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Pattern Recognition, 2024, pp. 27338–27347.</w:t>
      </w:r>
      <w:bookmarkEnd w:id="1"/>
    </w:p>
    <w:p w14:paraId="0B4986C1">
      <w:pPr>
        <w:pStyle w:val="18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bookmarkStart w:id="2" w:name="_Ref15976"/>
      <w:r>
        <w:rPr>
          <w:rFonts w:hint="default" w:ascii="Times New Roman" w:hAnsi="Times New Roman" w:cs="Times New Roman"/>
        </w:rPr>
        <w:t>R. Xu, R. Feng, S.-X. Zhang, D. Hu, Mmcosine: Multi-modal cosine loss towards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balanced audio-visual fine-grained learning, in: IEEE International Conference on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Acoustics, Speech and Signal Processing, 2023, pp. 1–5.</w:t>
      </w:r>
      <w:bookmarkEnd w:id="2"/>
    </w:p>
    <w:p w14:paraId="403E32D7">
      <w:pPr>
        <w:pStyle w:val="18"/>
        <w:numPr>
          <w:ilvl w:val="0"/>
          <w:numId w:val="0"/>
        </w:numPr>
        <w:tabs>
          <w:tab w:val="left" w:pos="420"/>
        </w:tabs>
        <w:spacing w:before="120" w:after="120" w:line="288" w:lineRule="auto"/>
        <w:jc w:val="left"/>
        <w:rPr>
          <w:rFonts w:hint="default" w:ascii="Times New Roman" w:hAnsi="Times New Roman" w:cs="Times New Roman"/>
        </w:rPr>
      </w:pPr>
    </w:p>
    <w:p w14:paraId="2E81D6CC">
      <w:pPr>
        <w:pStyle w:val="18"/>
        <w:numPr>
          <w:ilvl w:val="0"/>
          <w:numId w:val="0"/>
        </w:numPr>
        <w:tabs>
          <w:tab w:val="left" w:pos="420"/>
        </w:tabs>
        <w:spacing w:before="120" w:after="120" w:line="288" w:lineRule="auto"/>
        <w:jc w:val="left"/>
        <w:rPr>
          <w:rFonts w:hint="default" w:ascii="Times New Roman" w:hAnsi="Times New Roman" w:cs="Times New Roma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37143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BEDEBFC">
            <w:pPr>
              <w:rPr>
                <w:rFonts w:hint="default" w:ascii="Times New Roman" w:hAnsi="Times New Roman" w:cs="Times New Roman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算法2  </w:t>
            </w:r>
            <w:r>
              <w:rPr>
                <w:rFonts w:hint="eastAsia" w:ascii="Times New Roman" w:hAnsi="Times New Roman"/>
              </w:rPr>
              <w:t>基于动态权重分配的多模态信息平衡技术</w:t>
            </w:r>
          </w:p>
        </w:tc>
      </w:tr>
      <w:tr w14:paraId="54BF4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5CD3B42">
            <w:pP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输入数据：训练集 </w:t>
            </w:r>
            <m:oMath>
              <m:r>
                <m:rPr/>
                <w:rPr>
                  <w:rFonts w:hint="default" w:ascii="Cambria Math" w:hAnsi="Cambria Math"/>
                  <w:sz w:val="21"/>
                </w:rPr>
                <m:t>O</m:t>
              </m:r>
            </m:oMath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，包含文本模态</w:t>
            </w:r>
            <m:oMath>
              <m:r>
                <m:rPr/>
                <w:rPr>
                  <w:rFonts w:hint="default" w:ascii="Cambria Math" w:hAnsi="Cambria Math"/>
                  <w:sz w:val="21"/>
                </w:rPr>
                <m:t>T</m:t>
              </m:r>
            </m:oMath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和图像模态</w:t>
            </w:r>
            <m:oMath>
              <m:r>
                <m:rPr/>
                <w:rPr>
                  <w:rFonts w:hint="default" w:ascii="Cambria Math" w:hAnsi="Cambria Math"/>
                  <w:sz w:val="21"/>
                </w:rPr>
                <m:t>I</m:t>
              </m:r>
            </m:oMath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以及标签矩阵 </w:t>
            </w:r>
            <m:oMath>
              <m:r>
                <m:rPr/>
                <w:rPr>
                  <w:rFonts w:hint="default" w:ascii="Cambria Math" w:hAnsi="Cambria Math"/>
                  <w:sz w:val="21"/>
                </w:rPr>
                <m:t>Y</m:t>
              </m:r>
            </m:oMath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；测试集 </w:t>
            </w:r>
            <m:oMath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O</m:t>
              </m:r>
              <m:r>
                <m:rPr/>
                <w:rPr>
                  <w:rFonts w:hint="default" w:ascii="Cambria Math" w:hAnsi="Cambria Math"/>
                  <w:sz w:val="21"/>
                </w:rPr>
                <m:t>'</m:t>
              </m:r>
            </m:oMath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，包含文本模态 </w:t>
            </w:r>
            <m:oMath>
              <m:r>
                <m:rPr/>
                <w:rPr>
                  <w:rFonts w:hint="default" w:ascii="Cambria Math" w:hAnsi="Cambria Math"/>
                  <w:sz w:val="21"/>
                </w:rPr>
                <m:t>T'</m:t>
              </m:r>
            </m:oMath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和图像模态 </w:t>
            </w:r>
            <m:oMath>
              <m:r>
                <m:rPr/>
                <w:rPr>
                  <w:rFonts w:hint="default" w:ascii="Cambria Math" w:hAnsi="Cambria Math"/>
                  <w:sz w:val="21"/>
                </w:rPr>
                <m:t>I'</m:t>
              </m:r>
            </m:oMath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。</w:t>
            </w:r>
          </w:p>
          <w:p w14:paraId="251ABAFA">
            <w:pPr>
              <w:rPr>
                <w:rFonts w:hint="eastAsia" w:ascii="Times New Roman" w:hAnsi="Times New Roman" w:cs="Times New Roman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for 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each epoch </w:t>
            </w:r>
            <m:oMath>
              <m:sSub>
                <m:sSub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B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ℎ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：</w:t>
            </w:r>
            <w:bookmarkStart w:id="3" w:name="_GoBack"/>
            <w:bookmarkEnd w:id="3"/>
          </w:p>
          <w:p w14:paraId="2AC2039A">
            <w:pPr>
              <w:numPr>
                <w:ilvl w:val="0"/>
                <w:numId w:val="2"/>
              </w:numPr>
              <w:ind w:left="210" w:leftChars="0" w:firstLine="0" w:firstLineChars="0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计算各模态特征 </w:t>
            </w:r>
            <m:oMath>
              <m:sSup>
                <m:s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g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1"/>
                </w:rPr>
                <m:t>(</m:t>
              </m:r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z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i</m:t>
                  </m:r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(ℎ)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sz w:val="21"/>
                </w:rPr>
                <m:t>;</m:t>
              </m:r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θ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ℎ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sz w:val="21"/>
                </w:rPr>
                <m:t>)</m:t>
              </m:r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；</w:t>
            </w:r>
          </w:p>
          <w:p w14:paraId="1447D5B3">
            <w:pPr>
              <w:numPr>
                <w:ilvl w:val="0"/>
                <w:numId w:val="2"/>
              </w:numPr>
              <w:ind w:left="210" w:leftChars="0" w:firstLine="0" w:firstLineChars="0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计算每个模态的对数几率得分 </w:t>
            </w:r>
            <m:oMath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s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i</m:t>
                  </m:r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(ℎ)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；</w:t>
            </w:r>
          </w:p>
          <w:p w14:paraId="20261499">
            <w:pPr>
              <w:numPr>
                <w:ilvl w:val="0"/>
                <w:numId w:val="2"/>
              </w:numPr>
              <w:ind w:left="210" w:leftChars="0" w:firstLine="0" w:firstLineChars="0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计算差异率 </w:t>
            </w:r>
            <m:oMath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ρ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ℎ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；</w:t>
            </w:r>
          </w:p>
          <w:p w14:paraId="76C8F67B">
            <w:pPr>
              <w:numPr>
                <w:ilvl w:val="0"/>
                <w:numId w:val="2"/>
              </w:numPr>
              <w:ind w:left="210" w:leftChars="0" w:firstLine="0" w:firstLineChars="0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计算平衡因子 </w:t>
            </w:r>
            <m:oMath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k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ℎ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；</w:t>
            </w:r>
          </w:p>
          <w:p w14:paraId="146BF948">
            <w:pPr>
              <w:numPr>
                <w:ilvl w:val="0"/>
                <w:numId w:val="2"/>
              </w:numPr>
              <w:ind w:left="210" w:leftChars="0" w:firstLine="0" w:firstLineChars="0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融合多模态特征 </w:t>
            </w:r>
            <m:oMath>
              <m:sSub>
                <m:sSub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x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n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；</w:t>
            </w:r>
          </w:p>
          <w:p w14:paraId="1C5615B3">
            <w:pPr>
              <w:numPr>
                <w:ilvl w:val="0"/>
                <w:numId w:val="2"/>
              </w:numPr>
              <w:ind w:left="210" w:leftChars="0" w:firstLine="0" w:firstLineChars="0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通过分类器 </w:t>
            </w:r>
            <m:oMath>
              <m:r>
                <m:rPr/>
                <w:rPr>
                  <w:rFonts w:hint="default" w:ascii="Cambria Math" w:hAnsi="Cambria Math"/>
                  <w:sz w:val="21"/>
                </w:rPr>
                <m:t>C(</m:t>
              </m:r>
              <m:sSub>
                <m:sSub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x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n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</w:rPr>
                <m:t>;</m:t>
              </m:r>
              <m:sSub>
                <m:sSub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θ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c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1"/>
                </w:rPr>
                <m:t>)</m:t>
              </m:r>
            </m:oMath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得到预测标签 </w:t>
            </w:r>
            <m:oMath>
              <m:sSub>
                <m:sSubPr>
                  <m:ctrlPr>
                    <w:rPr>
                      <w:rFonts w:hint="default" w:ascii="Cambria Math" w:hAnsi="Cambria Math"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</m:acc>
                  <m:ctrlPr>
                    <w:rPr>
                      <w:rFonts w:hint="default" w:ascii="Cambria Math" w:hAnsi="Cambria Math"/>
                      <w:sz w:val="22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2"/>
                    </w:rPr>
                    <m:t>n</m:t>
                  </m:r>
                  <m:ctrlPr>
                    <w:rPr>
                      <w:rFonts w:hint="default" w:ascii="Cambria Math" w:hAnsi="Cambria Math"/>
                      <w:sz w:val="22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；</w:t>
            </w:r>
          </w:p>
          <w:p w14:paraId="59E29BA0">
            <w:pPr>
              <w:numPr>
                <w:ilvl w:val="0"/>
                <w:numId w:val="2"/>
              </w:numPr>
              <w:ind w:left="210" w:leftChars="0" w:firstLine="0" w:firstLineChars="0"/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 反向传播更新参数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；</w:t>
            </w:r>
          </w:p>
          <w:p w14:paraId="21F7F8DC"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optimizer.zero_grad()</w:t>
            </w:r>
          </w:p>
          <w:p w14:paraId="4F97E6CF">
            <w:pP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L_total.backward()</w:t>
            </w:r>
          </w:p>
          <w:p w14:paraId="6533B7F3">
            <w:pPr>
              <w:rPr>
                <w:rFonts w:hint="eastAsia" w:ascii="Times New Roman" w:hAnsi="Times New Roman" w:cs="Times New Roman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 xml:space="preserve"> 更新模型参数</w:t>
            </w:r>
            <m:oMath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θ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ℎ+1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sz w:val="21"/>
                </w:rPr>
                <m:t>=</m:t>
              </m:r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θ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ℎ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sz w:val="21"/>
                </w:rPr>
                <m:t>−λ</m:t>
              </m:r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k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ℎ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  <m:sSup>
                <m:s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hint="default" w:ascii="Cambria Math" w:hAnsi="Cambria Math"/>
                          <w:sz w:val="22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/>
                          <w:sz w:val="22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1"/>
                </w:rPr>
                <m:t>(</m:t>
              </m:r>
              <m:sSubSup>
                <m:sSubSupPr>
                  <m:ctrlPr>
                    <w:rPr>
                      <w:rFonts w:hint="default" w:ascii="Cambria Math" w:hAnsi="Cambria Math"/>
                      <w:sz w:val="21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θ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</w:rPr>
                    <m:t>ℎ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1"/>
                    </w:rPr>
                    <m:t>u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sz w:val="21"/>
                </w:rPr>
                <m:t>)</m:t>
              </m:r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；</w:t>
            </w:r>
          </w:p>
          <w:p w14:paraId="47C2EF4D">
            <w:pPr>
              <w:rPr>
                <w:rFonts w:hint="eastAsia" w:ascii="Times New Roman" w:hAnsi="Times New Roman" w:cs="Times New Roman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vertAlign w:val="baseline"/>
                <w:lang w:val="en-US" w:eastAsia="zh-CN"/>
              </w:rPr>
              <w:t>输出：预测标签</w:t>
            </w:r>
            <m:oMath>
              <m:acc>
                <m:accPr>
                  <m:ctrlPr>
                    <w:rPr>
                      <w:rFonts w:hint="default" w:ascii="Cambria Math" w:hAnsi="Cambria Math"/>
                      <w:sz w:val="21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1"/>
                    </w:rPr>
                    <m:t>Y</m:t>
                  </m:r>
                  <m:ctrlPr>
                    <w:rPr>
                      <w:rFonts w:ascii="Cambria Math" w:hAnsi="Cambria Math"/>
                      <w:sz w:val="21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sz w:val="21"/>
                </w:rPr>
                <m:t>'</m:t>
              </m:r>
            </m:oMath>
            <w:r>
              <w:rPr>
                <w:rFonts w:hint="eastAsia" w:hAnsi="Cambria Math"/>
                <w:i w:val="0"/>
                <w:sz w:val="21"/>
                <w:lang w:eastAsia="zh-CN"/>
              </w:rPr>
              <w:t>。</w:t>
            </w:r>
          </w:p>
        </w:tc>
      </w:tr>
    </w:tbl>
    <w:p w14:paraId="459BEA1A">
      <w:pPr>
        <w:rPr>
          <w:rFonts w:hint="default" w:ascii="Times New Roman" w:hAnsi="Times New Roman" w:cs="Times New Roman"/>
        </w:rPr>
      </w:pPr>
    </w:p>
    <w:p w14:paraId="681790EF">
      <w:pPr>
        <w:pStyle w:val="18"/>
        <w:numPr>
          <w:ilvl w:val="0"/>
          <w:numId w:val="0"/>
        </w:numPr>
        <w:tabs>
          <w:tab w:val="left" w:pos="420"/>
        </w:tabs>
        <w:spacing w:before="120" w:after="120" w:line="288" w:lineRule="auto"/>
        <w:jc w:val="left"/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03548"/>
    <w:multiLevelType w:val="singleLevel"/>
    <w:tmpl w:val="8A603548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393BDB9D"/>
    <w:multiLevelType w:val="singleLevel"/>
    <w:tmpl w:val="393BDB9D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1BEA0A16"/>
    <w:rsid w:val="1D36434C"/>
    <w:rsid w:val="1F5B443E"/>
    <w:rsid w:val="251E246D"/>
    <w:rsid w:val="293A6EA0"/>
    <w:rsid w:val="38A604BF"/>
    <w:rsid w:val="3EE576C2"/>
    <w:rsid w:val="4D154774"/>
    <w:rsid w:val="555D7247"/>
    <w:rsid w:val="7FFC2D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7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10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character" w:styleId="15">
    <w:name w:val="footnote reference"/>
    <w:semiHidden/>
    <w:unhideWhenUsed/>
    <w:qFormat/>
    <w:uiPriority w:val="99"/>
    <w:rPr>
      <w:vertAlign w:val="superscript"/>
    </w:rPr>
  </w:style>
  <w:style w:type="paragraph" w:styleId="16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7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8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9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  <w:style w:type="paragraph" w:customStyle="1" w:styleId="20">
    <w:name w:val="说明"/>
    <w:basedOn w:val="1"/>
    <w:next w:val="21"/>
    <w:qFormat/>
    <w:uiPriority w:val="0"/>
    <w:pPr>
      <w:adjustRightInd w:val="0"/>
      <w:snapToGrid w:val="0"/>
      <w:spacing w:before="50" w:beforeLines="50" w:after="100" w:afterLines="100" w:line="288" w:lineRule="auto"/>
    </w:pPr>
    <w:rPr>
      <w:rFonts w:ascii="楷体" w:hAnsi="楷体" w:eastAsia="楷体"/>
    </w:rPr>
  </w:style>
  <w:style w:type="paragraph" w:customStyle="1" w:styleId="21">
    <w:name w:val="正文段落"/>
    <w:basedOn w:val="1"/>
    <w:qFormat/>
    <w:uiPriority w:val="0"/>
    <w:pPr>
      <w:adjustRightInd w:val="0"/>
      <w:snapToGrid w:val="0"/>
      <w:spacing w:before="20" w:beforeLines="20" w:after="20" w:afterLines="20" w:line="336" w:lineRule="auto"/>
      <w:ind w:firstLine="200" w:firstLineChars="200"/>
    </w:pPr>
    <w:rPr>
      <w:rFonts w:ascii="Times New Roman" w:hAnsi="Times New Roman" w:eastAsia="宋体"/>
      <w:sz w:val="24"/>
    </w:rPr>
  </w:style>
  <w:style w:type="paragraph" w:customStyle="1" w:styleId="22">
    <w:name w:val="样式1"/>
    <w:basedOn w:val="9"/>
    <w:next w:val="9"/>
    <w:qFormat/>
    <w:uiPriority w:val="0"/>
    <w:pPr>
      <w:spacing w:before="120" w:after="120" w:line="288" w:lineRule="auto"/>
      <w:jc w:val="left"/>
    </w:pPr>
    <w:rPr>
      <w:rFonts w:hint="eastAsia" w:ascii="Arial" w:hAnsi="Arial" w:eastAsia="等线" w:cs="Arial"/>
      <w:sz w:val="20"/>
      <w:szCs w:val="20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1510</Words>
  <Characters>2093</Characters>
  <TotalTime>163</TotalTime>
  <ScaleCrop>false</ScaleCrop>
  <LinksUpToDate>false</LinksUpToDate>
  <CharactersWithSpaces>2235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2025-04-13T02:58:00Z</dcterms:created>
  <dc:creator>Un-named</dc:creator>
  <cp:lastModifiedBy>月茗茗茗茗茗</cp:lastModifiedBy>
  <dcterms:modified xsi:type="dcterms:W3CDTF">2025-04-14T09:00:06Z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eyJoZGlkIjoiY2JmYjc2OWNmNjcyNGU4YzY2NmQ3YjJiMTgxNDk4OWYiLCJ1c2VySWQiOiIxMjY4NTI4NjEyIn0=</vt:lpwstr>
  </property>
  <property fmtid="{D5CDD505-2E9C-101B-9397-08002B2CF9AE}" pid="3" name="KSOProductBuildVer">
    <vt:lpwstr>2052-12.1.0.20784</vt:lpwstr>
  </property>
  <property fmtid="{D5CDD505-2E9C-101B-9397-08002B2CF9AE}" pid="4" name="ICV">
    <vt:lpwstr>D3E30FBC08714B8DB58A2498FD56B111_13</vt:lpwstr>
  </property>
</Properties>
</file>