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Team</w:t>
      </w:r>
      <w:r>
        <w:t xml:space="preserve"> </w:t>
      </w:r>
      <w:r>
        <w:t xml:space="preserve">plan:</w:t>
      </w:r>
      <w:r>
        <w:t xml:space="preserve"> </w:t>
      </w:r>
      <w:r>
        <w:t xml:space="preserve">illegal</w:t>
      </w:r>
      <w:r>
        <w:t xml:space="preserve"> </w:t>
      </w:r>
      <w:r>
        <w:t xml:space="preserve">gold</w:t>
      </w:r>
      <w:r>
        <w:t xml:space="preserve"> </w:t>
      </w:r>
      <w:r>
        <w:t xml:space="preserve">mining</w:t>
      </w:r>
      <w:r>
        <w:t xml:space="preserve"> </w:t>
      </w:r>
      <w:r>
        <w:t xml:space="preserve">in</w:t>
      </w:r>
      <w:r>
        <w:t xml:space="preserve"> </w:t>
      </w:r>
      <w:r>
        <w:t xml:space="preserve">the</w:t>
      </w:r>
      <w:r>
        <w:t xml:space="preserve"> </w:t>
      </w:r>
      <w:r>
        <w:t xml:space="preserve">Amazon</w:t>
      </w:r>
    </w:p>
    <w:p>
      <w:pPr>
        <w:pStyle w:val="Subtitle"/>
      </w:pPr>
      <w:r>
        <w:t xml:space="preserve">Half</w:t>
      </w:r>
      <w:r>
        <w:t xml:space="preserve"> </w:t>
      </w:r>
      <w:r>
        <w:t xml:space="preserve">a</w:t>
      </w:r>
      <w:r>
        <w:t xml:space="preserve"> </w:t>
      </w:r>
      <w:r>
        <w:t xml:space="preserve">page.</w:t>
      </w:r>
      <w:r>
        <w:t xml:space="preserve"> </w:t>
      </w:r>
      <w:r>
        <w:t xml:space="preserve">Submit</w:t>
      </w:r>
      <w:r>
        <w:t xml:space="preserve"> </w:t>
      </w:r>
      <w:r>
        <w:t xml:space="preserve">by</w:t>
      </w:r>
      <w:r>
        <w:t xml:space="preserve"> </w:t>
      </w:r>
      <w:r>
        <w:t xml:space="preserve">the</w:t>
      </w:r>
      <w:r>
        <w:t xml:space="preserve"> </w:t>
      </w:r>
      <w:r>
        <w:t xml:space="preserve">end</w:t>
      </w:r>
      <w:r>
        <w:t xml:space="preserve"> </w:t>
      </w:r>
      <w:r>
        <w:t xml:space="preserve">of</w:t>
      </w:r>
      <w:r>
        <w:t xml:space="preserve"> </w:t>
      </w:r>
      <w:r>
        <w:t xml:space="preserve">the</w:t>
      </w:r>
      <w:r>
        <w:t xml:space="preserve"> </w:t>
      </w:r>
      <w:r>
        <w:t xml:space="preserve">day.</w:t>
      </w:r>
    </w:p>
    <w:p>
      <w:pPr>
        <w:pStyle w:val="FirstParagraph"/>
      </w:pPr>
      <w:r>
        <w:rPr>
          <w:b/>
        </w:rPr>
        <w:t xml:space="preserve">Group and members: </w:t>
      </w:r>
      <w:r>
        <w:t>Group Giant Anteater. Ruby Ann Grambauer, Sebastian Schmid, [add members].</w:t>
      </w:r>
    </w:p>
    <w:p>
      <w:pPr>
        <w:pStyle w:val="BodyText"/>
      </w:pPr>
      <w:r>
        <w:rPr>
          <w:b/>
        </w:rPr>
        <w:t xml:space="preserve">Question: </w:t>
      </w:r>
      <w:r>
        <w:t>Question 2, Peru (Operation Mercurio, from February 2019). Brazil (Yanomami operation, February 2023) as a short second case.</w:t>
      </w:r>
    </w:p>
    <w:p>
      <w:pPr>
        <w:pStyle w:val="BodyText"/>
      </w:pPr>
      <w:r>
        <w:rPr>
          <w:b/>
        </w:rPr>
        <w:t xml:space="preserve">1. Our question. </w:t>
      </w:r>
      <w:r>
        <w:t>When Operation Mercurio hit La Pampa (Tambopata buffer zone), did illegal gold mining stop there, for how long, and did it cross the Interoceanic Highway into the legal mining corridor?</w:t>
      </w:r>
    </w:p>
    <w:p>
      <w:pPr>
        <w:pStyle w:val="BodyText"/>
      </w:pPr>
      <w:r>
        <w:rPr>
          <w:b/>
        </w:rPr>
        <w:t xml:space="preserve">2. Unit and years. </w:t>
      </w:r>
      <w:r>
        <w:t>One row is one zone in one year, Madre de Dios, 2010-2025: La Pampa sector, rest of the Tambopata buffer zone, the legal corridor across the road, rest of the corridor, native communities, other buffer zones, Tambopata reserve. Outcome: land mapped as mining for the first time, and returns to old pits (ha).</w:t>
      </w:r>
    </w:p>
    <w:p>
      <w:pPr>
        <w:pStyle w:val="BodyText"/>
      </w:pPr>
      <w:r>
        <w:rPr>
          <w:b/>
        </w:rPr>
        <w:t xml:space="preserve">3. Comparison. </w:t>
      </w:r>
      <w:r>
        <w:t>We compare the Tambopata buffer zone (and its La Pampa sector) to 14 other Peruvian buffer zones with mining before 2019, before (2016-18), during (2019-21) and after (2022-25) Mercurio; plus a rule-based twin abroad (Amana National Forest, Brazil). For displacement we compare the south and north sides of the highway. We chose these groups because they mined before 2019 and share national shocks (gold price, COVID); nearby zones may have received miners, so we also use distant ones.</w:t>
      </w:r>
    </w:p>
    <w:p>
      <w:pPr>
        <w:pStyle w:val="BodyText"/>
      </w:pPr>
      <w:r>
        <w:rPr>
          <w:b/>
        </w:rPr>
        <w:t xml:space="preserve">4. Sources. </w:t>
      </w:r>
      <w:r>
        <w:t>From the data pack: peru_bufferzone_year, peru_department_year, prices. Added: MapBiomas Peru Collection 4 rasters and protected-area statistics (peru.mapbiomas.org); SERNANP boundaries; INGEMMET mining corridor and geology (GEOCATMIN); RAISG roads; UMD GLAD forest-loss alerts; Amazon Mining Watch; MAAP reports #130, #193, #208, #241.</w:t>
      </w:r>
    </w:p>
    <w:p>
      <w:pPr>
        <w:pStyle w:val="BodyText"/>
      </w:pPr>
      <w:r>
        <w:rPr>
          <w:b/>
        </w:rPr>
        <w:t xml:space="preserve">5. Initial statistics. </w:t>
      </w:r>
      <w:r>
        <w:t>Our raster count shows 20,716 ha of mining in the Tambopata buffer zone in 2025; the publisher's table shows 20,730 ha. Tambopata National Reserve: 776 ha vs 777 ha on the MapBiomas platform.</w:t>
      </w:r>
    </w:p>
    <w:p>
      <w:pPr>
        <w:pStyle w:val="BodyText"/>
      </w:pPr>
      <w:r>
        <w:rPr>
          <w:b/>
        </w:rPr>
        <w:t xml:space="preserve">6. Main concern. </w:t>
      </w:r>
      <w:r>
        <w:t>There is one targeted zone, and other events overlap (COVID 2020, Plan Restauracion 2021, the 2023 emergency, the gold price). Satellites miss river dredges and mercury; net numbers hide miners returning to old pits; clearing in La Pampa continued through 2019. Nearby zones may have received miners or had their own enforcement.</w:t>
      </w:r>
    </w:p>
    <w:p>
      <w:pPr>
        <w:pStyle w:val="BodyText"/>
      </w:pPr>
      <w:r>
        <w:rPr>
          <w:b/>
        </w:rPr>
        <w:t xml:space="preserve">7. Who does what (to confirm). </w:t>
      </w:r>
      <w:r>
        <w:t>Data and data log: Sebastian. Analysis: Sebastian, reviewed by Ruby. Figure: [add]. Brief and slides: Ruby, [add]. Replication files: Sebastian.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plan: illegal gold mining in the Amazon</dc:title>
  <dc:creator/>
  <cp:keywords/>
  <dcterms:created xsi:type="dcterms:W3CDTF">2026-10-07T17:42:41Z</dcterms:created>
  <dcterms:modified xsi:type="dcterms:W3CDTF">2026-10-07T17:42:41Z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Half a page. Submit by the end of the day.</vt:lpwstr>
  </property>
</Properties>
</file>