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DA" w:rsidRPr="00467A2D" w:rsidRDefault="007E3DDA" w:rsidP="007E3DDA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467A2D">
        <w:rPr>
          <w:rFonts w:ascii="Times New Roman" w:eastAsiaTheme="minorEastAsia" w:hAnsi="Times New Roman" w:cs="Times New Roman"/>
          <w:b/>
          <w:bCs/>
        </w:rPr>
        <w:t>Supplementary Information</w:t>
      </w:r>
      <w:r w:rsidR="004020EA">
        <w:rPr>
          <w:rFonts w:ascii="Times New Roman" w:eastAsiaTheme="minorEastAsia" w:hAnsi="Times New Roman" w:cs="Times New Roman"/>
          <w:b/>
          <w:bCs/>
        </w:rPr>
        <w:t xml:space="preserve"> - 2</w:t>
      </w:r>
      <w:r w:rsidRPr="00467A2D">
        <w:rPr>
          <w:rFonts w:ascii="Times New Roman" w:eastAsiaTheme="minorEastAsia" w:hAnsi="Times New Roman" w:cs="Times New Roman"/>
          <w:b/>
          <w:bCs/>
        </w:rPr>
        <w:t xml:space="preserve"> </w:t>
      </w:r>
      <w:bookmarkStart w:id="0" w:name="_GoBack"/>
      <w:bookmarkEnd w:id="0"/>
    </w:p>
    <w:p w:rsidR="007E3DDA" w:rsidRPr="00467A2D" w:rsidRDefault="007E3DDA" w:rsidP="007E3DDA">
      <w:pPr>
        <w:jc w:val="center"/>
        <w:rPr>
          <w:rFonts w:ascii="Times New Roman" w:eastAsiaTheme="minorEastAsia" w:hAnsi="Times New Roman" w:cs="Times New Roman"/>
          <w:b/>
          <w:bCs/>
        </w:rPr>
      </w:pPr>
    </w:p>
    <w:p w:rsidR="007E3DDA" w:rsidRPr="00467A2D" w:rsidRDefault="007E3DDA" w:rsidP="007E3DDA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 xml:space="preserve">Multi-Objective </w:t>
      </w:r>
      <w:proofErr w:type="spellStart"/>
      <w:r w:rsidRPr="00467A2D">
        <w:rPr>
          <w:rFonts w:ascii="Times New Roman" w:hAnsi="Times New Roman" w:cs="Times New Roman"/>
          <w:b/>
        </w:rPr>
        <w:t>Modeling</w:t>
      </w:r>
      <w:proofErr w:type="spellEnd"/>
      <w:r w:rsidRPr="00467A2D">
        <w:rPr>
          <w:rFonts w:ascii="Times New Roman" w:hAnsi="Times New Roman" w:cs="Times New Roman"/>
          <w:b/>
        </w:rPr>
        <w:t xml:space="preserve"> framework for Environmental flow </w:t>
      </w:r>
      <w:r>
        <w:rPr>
          <w:rFonts w:ascii="Times New Roman" w:hAnsi="Times New Roman" w:cs="Times New Roman"/>
          <w:b/>
        </w:rPr>
        <w:t>optimization</w:t>
      </w:r>
      <w:r w:rsidRPr="00467A2D">
        <w:rPr>
          <w:rFonts w:ascii="Times New Roman" w:hAnsi="Times New Roman" w:cs="Times New Roman"/>
          <w:b/>
        </w:rPr>
        <w:t xml:space="preserve"> </w:t>
      </w:r>
    </w:p>
    <w:p w:rsidR="007E3DDA" w:rsidRPr="00467A2D" w:rsidRDefault="007E3DDA" w:rsidP="007E3DDA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in</w:t>
      </w:r>
      <w:proofErr w:type="gramEnd"/>
      <w:r w:rsidRPr="00467A2D">
        <w:rPr>
          <w:rFonts w:ascii="Times New Roman" w:hAnsi="Times New Roman" w:cs="Times New Roman"/>
          <w:b/>
        </w:rPr>
        <w:t xml:space="preserve"> a River-Reservoir system using Histogram Comparison Approach </w:t>
      </w:r>
    </w:p>
    <w:p w:rsidR="007E3DDA" w:rsidRPr="00467A2D" w:rsidRDefault="007E3DDA" w:rsidP="007E3DDA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67A2D">
        <w:rPr>
          <w:rFonts w:ascii="Times New Roman" w:hAnsi="Times New Roman" w:cs="Times New Roman"/>
          <w:b/>
        </w:rPr>
        <w:t>for</w:t>
      </w:r>
      <w:proofErr w:type="gramEnd"/>
      <w:r w:rsidRPr="00467A2D">
        <w:rPr>
          <w:rFonts w:ascii="Times New Roman" w:hAnsi="Times New Roman" w:cs="Times New Roman"/>
          <w:b/>
        </w:rPr>
        <w:t xml:space="preserve"> estimation of Hydrologic Alteration</w:t>
      </w:r>
    </w:p>
    <w:p w:rsidR="007E3DDA" w:rsidRPr="00467A2D" w:rsidRDefault="007E3DDA" w:rsidP="007E3DDA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:rsidR="007E3DDA" w:rsidRPr="00467A2D" w:rsidRDefault="007E3DDA" w:rsidP="007E3DDA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467A2D">
        <w:rPr>
          <w:rFonts w:ascii="Times New Roman" w:hAnsi="Times New Roman" w:cs="Times New Roman"/>
          <w:b/>
        </w:rPr>
        <w:t>Ruby Jose</w:t>
      </w:r>
      <w:r w:rsidRPr="00467A2D">
        <w:rPr>
          <w:rFonts w:ascii="Times New Roman" w:hAnsi="Times New Roman" w:cs="Times New Roman"/>
          <w:b/>
          <w:vertAlign w:val="superscript"/>
        </w:rPr>
        <w:t>1</w:t>
      </w:r>
      <w:r w:rsidRPr="00467A2D">
        <w:rPr>
          <w:rFonts w:ascii="Times New Roman" w:hAnsi="Times New Roman" w:cs="Times New Roman"/>
          <w:b/>
        </w:rPr>
        <w:t xml:space="preserve">and </w:t>
      </w:r>
      <w:proofErr w:type="spellStart"/>
      <w:r w:rsidRPr="00467A2D">
        <w:rPr>
          <w:rFonts w:ascii="Times New Roman" w:hAnsi="Times New Roman" w:cs="Times New Roman"/>
          <w:b/>
        </w:rPr>
        <w:t>Srinivasan</w:t>
      </w:r>
      <w:proofErr w:type="spellEnd"/>
      <w:r w:rsidRPr="00467A2D">
        <w:rPr>
          <w:rFonts w:ascii="Times New Roman" w:hAnsi="Times New Roman" w:cs="Times New Roman"/>
          <w:b/>
        </w:rPr>
        <w:t xml:space="preserve"> K</w:t>
      </w:r>
      <w:r w:rsidRPr="00467A2D">
        <w:rPr>
          <w:rFonts w:ascii="Times New Roman" w:hAnsi="Times New Roman" w:cs="Times New Roman"/>
          <w:b/>
          <w:vertAlign w:val="superscript"/>
        </w:rPr>
        <w:t>2</w:t>
      </w:r>
    </w:p>
    <w:p w:rsidR="007E3DDA" w:rsidRPr="00467A2D" w:rsidRDefault="007E3DDA" w:rsidP="007E3DDA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467A2D">
        <w:rPr>
          <w:rFonts w:ascii="Times New Roman" w:hAnsi="Times New Roman" w:cs="Times New Roman"/>
          <w:vertAlign w:val="superscript"/>
        </w:rPr>
        <w:t>1</w:t>
      </w:r>
      <w:r w:rsidRPr="00467A2D">
        <w:rPr>
          <w:rFonts w:ascii="Times New Roman" w:hAnsi="Times New Roman" w:cs="Times New Roman"/>
        </w:rPr>
        <w:t xml:space="preserve">Research Scholar, </w:t>
      </w:r>
      <w:r w:rsidRPr="00467A2D">
        <w:rPr>
          <w:rFonts w:ascii="Times New Roman" w:hAnsi="Times New Roman" w:cs="Times New Roman"/>
          <w:vertAlign w:val="superscript"/>
        </w:rPr>
        <w:t>2</w:t>
      </w:r>
      <w:r w:rsidRPr="00467A2D">
        <w:rPr>
          <w:rFonts w:ascii="Times New Roman" w:hAnsi="Times New Roman" w:cs="Times New Roman"/>
        </w:rPr>
        <w:t>Professor (</w:t>
      </w:r>
      <w:proofErr w:type="spellStart"/>
      <w:r w:rsidRPr="00467A2D">
        <w:rPr>
          <w:rFonts w:ascii="Times New Roman" w:hAnsi="Times New Roman" w:cs="Times New Roman"/>
        </w:rPr>
        <w:t>Retd</w:t>
      </w:r>
      <w:proofErr w:type="spellEnd"/>
      <w:r w:rsidRPr="00467A2D">
        <w:rPr>
          <w:rFonts w:ascii="Times New Roman" w:hAnsi="Times New Roman" w:cs="Times New Roman"/>
        </w:rPr>
        <w:t>.), Department of Civil Engineering, Indian Institute of Technology Madras, Chennai – 600036.</w:t>
      </w:r>
      <w:proofErr w:type="gramEnd"/>
    </w:p>
    <w:p w:rsidR="007E3DDA" w:rsidRPr="00467A2D" w:rsidRDefault="007E3DDA" w:rsidP="007E3DDA">
      <w:pPr>
        <w:spacing w:after="0" w:line="480" w:lineRule="auto"/>
        <w:rPr>
          <w:rFonts w:ascii="Times New Roman" w:hAnsi="Times New Roman" w:cs="Times New Roman"/>
        </w:rPr>
      </w:pPr>
    </w:p>
    <w:p w:rsidR="007E3DDA" w:rsidRPr="00467A2D" w:rsidRDefault="007E3DDA" w:rsidP="007E3DDA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Corresponding author: Ruby Jose. J (</w:t>
      </w:r>
      <w:hyperlink r:id="rId5" w:history="1">
        <w:r w:rsidRPr="00467A2D">
          <w:rPr>
            <w:rStyle w:val="Hyperlink"/>
            <w:rFonts w:ascii="Times New Roman" w:hAnsi="Times New Roman" w:cs="Times New Roman"/>
          </w:rPr>
          <w:t>rubyphdwork@gmail.com</w:t>
        </w:r>
      </w:hyperlink>
      <w:r w:rsidRPr="00467A2D">
        <w:rPr>
          <w:rFonts w:ascii="Times New Roman" w:hAnsi="Times New Roman" w:cs="Times New Roman"/>
        </w:rPr>
        <w:t>)</w:t>
      </w:r>
    </w:p>
    <w:p w:rsidR="007E3DDA" w:rsidRPr="00467A2D" w:rsidRDefault="007E3DDA" w:rsidP="007E3DDA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Address: Department of Civil Engineering, IIT Madras, Chennai 600036, India.</w:t>
      </w:r>
    </w:p>
    <w:p w:rsidR="007E3DDA" w:rsidRDefault="007E3DDA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br w:type="page"/>
      </w:r>
    </w:p>
    <w:p w:rsidR="00E85844" w:rsidRPr="0026270B" w:rsidRDefault="002068BB" w:rsidP="00E85844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</w:pPr>
      <w:r w:rsidRPr="002068B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lastRenderedPageBreak/>
        <w:t>S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-</w:t>
      </w:r>
      <w:r w:rsidRPr="002068B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2.1</w:t>
      </w:r>
      <w:r w:rsidRPr="002068B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 w:rsidR="00E85844" w:rsidRPr="0026270B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Deriving optimal E-flow targets using HCA</w:t>
      </w:r>
    </w:p>
    <w:p w:rsidR="00E85844" w:rsidRDefault="00E85844" w:rsidP="00E8584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:rsidR="00E85844" w:rsidRPr="00467A2D" w:rsidRDefault="00E85844" w:rsidP="00E85844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lang w:eastAsia="en-IN"/>
        </w:rPr>
      </w:pPr>
    </w:p>
    <w:p w:rsidR="00E85844" w:rsidRPr="005224F4" w:rsidRDefault="00E85844" w:rsidP="00E8584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5C3F311" wp14:editId="0950A29A">
            <wp:extent cx="455295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44" w:rsidRPr="005224F4" w:rsidRDefault="00E85844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CF676A">
        <w:rPr>
          <w:rFonts w:ascii="Times New Roman" w:hAnsi="Times New Roman" w:cs="Times New Roman"/>
          <w:bCs/>
          <w:sz w:val="24"/>
          <w:szCs w:val="24"/>
        </w:rPr>
        <w:t xml:space="preserve">Fig. </w:t>
      </w:r>
      <w:r w:rsidR="007801DF">
        <w:rPr>
          <w:rFonts w:ascii="Times New Roman" w:hAnsi="Times New Roman" w:cs="Times New Roman"/>
          <w:bCs/>
          <w:sz w:val="24"/>
          <w:szCs w:val="24"/>
        </w:rPr>
        <w:t>S-</w:t>
      </w:r>
      <w:r w:rsidRPr="00CF676A">
        <w:rPr>
          <w:rFonts w:ascii="Times New Roman" w:hAnsi="Times New Roman" w:cs="Times New Roman"/>
          <w:bCs/>
          <w:sz w:val="24"/>
          <w:szCs w:val="24"/>
        </w:rPr>
        <w:t>2</w:t>
      </w:r>
      <w:r w:rsidR="00FE65DB">
        <w:rPr>
          <w:rFonts w:ascii="Times New Roman" w:hAnsi="Times New Roman" w:cs="Times New Roman"/>
          <w:bCs/>
          <w:sz w:val="24"/>
          <w:szCs w:val="24"/>
        </w:rPr>
        <w:t>.1</w:t>
      </w:r>
      <w:r w:rsidRPr="00CF676A">
        <w:rPr>
          <w:rFonts w:ascii="Times New Roman" w:hAnsi="Times New Roman" w:cs="Times New Roman"/>
          <w:bCs/>
          <w:sz w:val="24"/>
          <w:szCs w:val="24"/>
        </w:rPr>
        <w:t>:</w:t>
      </w:r>
      <w:r w:rsidR="00E235D4">
        <w:rPr>
          <w:rFonts w:ascii="Times New Roman" w:hAnsi="Times New Roman" w:cs="Times New Roman"/>
          <w:bCs/>
          <w:sz w:val="24"/>
          <w:szCs w:val="24"/>
        </w:rPr>
        <w:tab/>
      </w:r>
      <w:r w:rsidRPr="005224F4">
        <w:rPr>
          <w:rFonts w:ascii="Times New Roman" w:hAnsi="Times New Roman" w:cs="Times New Roman"/>
          <w:bCs/>
          <w:sz w:val="24"/>
          <w:szCs w:val="24"/>
        </w:rPr>
        <w:t xml:space="preserve">Pareto-front of the multi-objective optimization </w:t>
      </w:r>
      <w:proofErr w:type="gramStart"/>
      <w:r w:rsidRPr="005224F4">
        <w:rPr>
          <w:rFonts w:ascii="Times New Roman" w:hAnsi="Times New Roman" w:cs="Times New Roman"/>
          <w:bCs/>
          <w:sz w:val="24"/>
          <w:szCs w:val="24"/>
        </w:rPr>
        <w:t>run</w:t>
      </w:r>
      <w:proofErr w:type="gramEnd"/>
      <w:r w:rsidRPr="005224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24F4">
        <w:rPr>
          <w:rFonts w:ascii="Times New Roman" w:hAnsi="Times New Roman" w:cs="Times New Roman"/>
          <w:bCs/>
          <w:kern w:val="0"/>
          <w:sz w:val="24"/>
          <w:szCs w:val="24"/>
        </w:rPr>
        <w:t>IMHA-HCA</w:t>
      </w:r>
    </w:p>
    <w:p w:rsidR="00E85844" w:rsidRPr="005224F4" w:rsidRDefault="00E85844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844" w:rsidRDefault="00E85844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4F4">
        <w:rPr>
          <w:rFonts w:ascii="Times New Roman" w:hAnsi="Times New Roman" w:cs="Times New Roman"/>
          <w:sz w:val="24"/>
          <w:szCs w:val="24"/>
        </w:rPr>
        <w:t xml:space="preserve">The Pareto-front between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MSI and HA-HCA of IMHA-HCA is shown in Fig. </w:t>
      </w:r>
      <w:r w:rsidR="007801DF">
        <w:rPr>
          <w:rFonts w:ascii="Times New Roman" w:hAnsi="Times New Roman" w:cs="Times New Roman"/>
          <w:sz w:val="24"/>
          <w:szCs w:val="24"/>
        </w:rPr>
        <w:t>S-</w:t>
      </w:r>
      <w:r w:rsidRPr="005224F4">
        <w:rPr>
          <w:rFonts w:ascii="Times New Roman" w:hAnsi="Times New Roman" w:cs="Times New Roman"/>
          <w:sz w:val="24"/>
          <w:szCs w:val="24"/>
        </w:rPr>
        <w:t>2</w:t>
      </w:r>
      <w:r w:rsidR="009F21AA">
        <w:rPr>
          <w:rFonts w:ascii="Times New Roman" w:hAnsi="Times New Roman" w:cs="Times New Roman"/>
          <w:sz w:val="24"/>
          <w:szCs w:val="24"/>
        </w:rPr>
        <w:t>.1</w:t>
      </w:r>
      <w:r w:rsidRPr="005224F4">
        <w:rPr>
          <w:rFonts w:ascii="Times New Roman" w:hAnsi="Times New Roman" w:cs="Times New Roman"/>
          <w:sz w:val="24"/>
          <w:szCs w:val="24"/>
        </w:rPr>
        <w:t xml:space="preserve">, which covers a wide range of HA-HCA values (28% to 41%) for a </w:t>
      </w:r>
      <w:r>
        <w:rPr>
          <w:rFonts w:ascii="Times New Roman" w:hAnsi="Times New Roman" w:cs="Times New Roman"/>
          <w:sz w:val="24"/>
          <w:szCs w:val="24"/>
        </w:rPr>
        <w:t xml:space="preserve">relatively </w:t>
      </w:r>
      <w:r w:rsidRPr="005224F4">
        <w:rPr>
          <w:rFonts w:ascii="Times New Roman" w:hAnsi="Times New Roman" w:cs="Times New Roman"/>
          <w:sz w:val="24"/>
          <w:szCs w:val="24"/>
        </w:rPr>
        <w:t xml:space="preserve">narrow range of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MSI (0.13% to 4.3%).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5224F4">
        <w:rPr>
          <w:rFonts w:ascii="Times New Roman" w:hAnsi="Times New Roman" w:cs="Times New Roman"/>
          <w:sz w:val="24"/>
          <w:szCs w:val="24"/>
        </w:rPr>
        <w:t xml:space="preserve">he P-O solutions </w:t>
      </w:r>
      <w:r>
        <w:rPr>
          <w:rFonts w:ascii="Times New Roman" w:hAnsi="Times New Roman" w:cs="Times New Roman"/>
          <w:sz w:val="24"/>
          <w:szCs w:val="24"/>
        </w:rPr>
        <w:t xml:space="preserve">with HA-HCA between 28.95% and 33.33%, are </w:t>
      </w:r>
      <w:r w:rsidRPr="005224F4">
        <w:rPr>
          <w:rFonts w:ascii="Times New Roman" w:hAnsi="Times New Roman" w:cs="Times New Roman"/>
          <w:sz w:val="24"/>
          <w:szCs w:val="24"/>
        </w:rPr>
        <w:t xml:space="preserve">considered for further analysis </w:t>
      </w:r>
      <w:r>
        <w:rPr>
          <w:rFonts w:ascii="Times New Roman" w:hAnsi="Times New Roman" w:cs="Times New Roman"/>
          <w:sz w:val="24"/>
          <w:szCs w:val="24"/>
        </w:rPr>
        <w:t>on the basis of implementable E-flow targets</w:t>
      </w:r>
      <w:r w:rsidRPr="009A36B4">
        <w:rPr>
          <w:rFonts w:ascii="Times New Roman" w:hAnsi="Times New Roman" w:cs="Times New Roman"/>
          <w:sz w:val="24"/>
          <w:szCs w:val="24"/>
        </w:rPr>
        <w:t xml:space="preserve"> </w:t>
      </w:r>
      <w:r w:rsidRPr="005224F4">
        <w:rPr>
          <w:rFonts w:ascii="Times New Roman" w:hAnsi="Times New Roman" w:cs="Times New Roman"/>
          <w:sz w:val="24"/>
          <w:szCs w:val="24"/>
        </w:rPr>
        <w:t>from the deficit performance consideration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224F4">
        <w:rPr>
          <w:rFonts w:ascii="Times New Roman" w:hAnsi="Times New Roman" w:cs="Times New Roman"/>
          <w:sz w:val="24"/>
          <w:szCs w:val="24"/>
        </w:rPr>
        <w:t>low alteration category of HA proposed by Richter et al. (1998)</w:t>
      </w:r>
      <w:r>
        <w:rPr>
          <w:rFonts w:ascii="Times New Roman" w:hAnsi="Times New Roman" w:cs="Times New Roman"/>
          <w:sz w:val="24"/>
          <w:szCs w:val="24"/>
        </w:rPr>
        <w:t xml:space="preserve">, respectively. The optimal monthly E-flow targets of </w:t>
      </w:r>
      <w:r w:rsidRPr="005224F4">
        <w:rPr>
          <w:rFonts w:ascii="Times New Roman" w:hAnsi="Times New Roman" w:cs="Times New Roman"/>
          <w:sz w:val="24"/>
          <w:szCs w:val="24"/>
        </w:rPr>
        <w:t>six selected P-O solutions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24F4">
        <w:rPr>
          <w:rFonts w:ascii="Times New Roman" w:hAnsi="Times New Roman" w:cs="Times New Roman"/>
          <w:sz w:val="24"/>
          <w:szCs w:val="24"/>
        </w:rPr>
        <w:t xml:space="preserve">(shown as yellow coloured circles in Fig. </w:t>
      </w:r>
      <w:r w:rsidR="007E3DDA">
        <w:rPr>
          <w:rFonts w:ascii="Times New Roman" w:hAnsi="Times New Roman" w:cs="Times New Roman"/>
          <w:sz w:val="24"/>
          <w:szCs w:val="24"/>
        </w:rPr>
        <w:t>S-</w:t>
      </w:r>
      <w:r w:rsidRPr="005224F4">
        <w:rPr>
          <w:rFonts w:ascii="Times New Roman" w:hAnsi="Times New Roman" w:cs="Times New Roman"/>
          <w:sz w:val="24"/>
          <w:szCs w:val="24"/>
        </w:rPr>
        <w:t>2</w:t>
      </w:r>
      <w:r w:rsidR="007E3DDA">
        <w:rPr>
          <w:rFonts w:ascii="Times New Roman" w:hAnsi="Times New Roman" w:cs="Times New Roman"/>
          <w:sz w:val="24"/>
          <w:szCs w:val="24"/>
        </w:rPr>
        <w:t>.1</w:t>
      </w:r>
      <w:r w:rsidRPr="005224F4">
        <w:rPr>
          <w:rFonts w:ascii="Times New Roman" w:hAnsi="Times New Roman" w:cs="Times New Roman"/>
          <w:sz w:val="24"/>
          <w:szCs w:val="24"/>
        </w:rPr>
        <w:t>) falling within th</w:t>
      </w:r>
      <w:r>
        <w:rPr>
          <w:rFonts w:ascii="Times New Roman" w:hAnsi="Times New Roman" w:cs="Times New Roman"/>
          <w:sz w:val="24"/>
          <w:szCs w:val="24"/>
        </w:rPr>
        <w:t>is preferable</w:t>
      </w:r>
      <w:r w:rsidRPr="005224F4">
        <w:rPr>
          <w:rFonts w:ascii="Times New Roman" w:hAnsi="Times New Roman" w:cs="Times New Roman"/>
          <w:sz w:val="24"/>
          <w:szCs w:val="24"/>
        </w:rPr>
        <w:t xml:space="preserve"> range of HA-HCA </w:t>
      </w:r>
      <w:proofErr w:type="gramStart"/>
      <w:r w:rsidRPr="005224F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224F4">
        <w:rPr>
          <w:rFonts w:ascii="Times New Roman" w:hAnsi="Times New Roman" w:cs="Times New Roman"/>
          <w:sz w:val="24"/>
          <w:szCs w:val="24"/>
        </w:rPr>
        <w:t xml:space="preserve"> presented in Table </w:t>
      </w:r>
      <w:r w:rsidR="009F6B60">
        <w:rPr>
          <w:rFonts w:ascii="Times New Roman" w:hAnsi="Times New Roman" w:cs="Times New Roman"/>
          <w:sz w:val="24"/>
          <w:szCs w:val="24"/>
        </w:rPr>
        <w:t>S-</w:t>
      </w:r>
      <w:r w:rsidR="009F21AA">
        <w:rPr>
          <w:rFonts w:ascii="Times New Roman" w:hAnsi="Times New Roman" w:cs="Times New Roman"/>
          <w:sz w:val="24"/>
          <w:szCs w:val="24"/>
        </w:rPr>
        <w:t>2.</w:t>
      </w:r>
      <w:r w:rsidRPr="005224F4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E85844" w:rsidRDefault="00E85844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844" w:rsidRDefault="00E85844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CBE" w:rsidRDefault="00756CBE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CBE" w:rsidRDefault="00756CBE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844" w:rsidRPr="005224F4" w:rsidRDefault="00E85844" w:rsidP="00E85844">
      <w:pPr>
        <w:pStyle w:val="Caption"/>
        <w:keepNext/>
        <w:spacing w:after="0" w:line="48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5224F4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lastRenderedPageBreak/>
        <w:t xml:space="preserve">Table </w:t>
      </w:r>
      <w:r w:rsidR="007801DF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>S-</w:t>
      </w:r>
      <w:r w:rsidR="00FE65DB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>2.1</w:t>
      </w:r>
      <w:r w:rsidRPr="005224F4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 xml:space="preserve">: </w:t>
      </w:r>
      <w:r w:rsidRPr="005224F4">
        <w:rPr>
          <w:rFonts w:ascii="Times New Roman" w:hAnsi="Times New Roman" w:cs="Times New Roman"/>
          <w:b w:val="0"/>
          <w:bCs w:val="0"/>
          <w:color w:val="auto"/>
          <w:kern w:val="0"/>
          <w:sz w:val="24"/>
          <w:szCs w:val="24"/>
        </w:rPr>
        <w:tab/>
        <w:t xml:space="preserve">Optimal monthly E-flow targets for the six selected P-O solutions of IMHA-HCA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2"/>
        <w:gridCol w:w="626"/>
        <w:gridCol w:w="722"/>
        <w:gridCol w:w="723"/>
        <w:gridCol w:w="630"/>
        <w:gridCol w:w="723"/>
        <w:gridCol w:w="658"/>
        <w:gridCol w:w="604"/>
        <w:gridCol w:w="542"/>
        <w:gridCol w:w="455"/>
        <w:gridCol w:w="455"/>
        <w:gridCol w:w="455"/>
        <w:gridCol w:w="455"/>
        <w:gridCol w:w="455"/>
        <w:gridCol w:w="455"/>
        <w:gridCol w:w="462"/>
      </w:tblGrid>
      <w:tr w:rsidR="00E85844" w:rsidRPr="00E14A16" w:rsidTr="00197EEF">
        <w:trPr>
          <w:trHeight w:val="312"/>
        </w:trPr>
        <w:tc>
          <w:tcPr>
            <w:tcW w:w="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en-IN"/>
              </w:rPr>
              <w:t>Sol.</w:t>
            </w:r>
          </w:p>
        </w:tc>
        <w:tc>
          <w:tcPr>
            <w:tcW w:w="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Irr</w:t>
            </w:r>
            <w:proofErr w:type="spellEnd"/>
          </w:p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MSI</w:t>
            </w:r>
          </w:p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(%)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HA-HCA (%)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Year type</w:t>
            </w:r>
          </w:p>
        </w:tc>
        <w:tc>
          <w:tcPr>
            <w:tcW w:w="3435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Optimal monthly E-flow targets (×10</w:t>
            </w: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:lang w:eastAsia="en-IN"/>
              </w:rPr>
              <w:t>6</w:t>
            </w: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m</w:t>
            </w: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:lang w:eastAsia="en-IN"/>
              </w:rPr>
              <w:t>3</w:t>
            </w: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)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J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J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J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M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HCA-1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1.22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33.28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254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631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HCA-2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2.50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32.67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451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239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648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24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HCA-3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2.55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31.62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451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655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24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HCA-4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2.99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247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451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293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607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24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HCA-5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3.12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29.7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459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278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590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24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HCA-6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3.28</w:t>
            </w:r>
          </w:p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28.95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451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369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E85844" w:rsidRPr="00E14A16" w:rsidTr="00197EE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285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287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844" w:rsidRPr="00E14A16" w:rsidRDefault="00E85844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</w:tbl>
    <w:p w:rsidR="00E85844" w:rsidRPr="00E14A16" w:rsidRDefault="00E85844" w:rsidP="00E85844">
      <w:pPr>
        <w:rPr>
          <w:rFonts w:ascii="Times New Roman" w:hAnsi="Times New Roman" w:cs="Times New Roman"/>
          <w:sz w:val="18"/>
          <w:szCs w:val="24"/>
        </w:rPr>
      </w:pPr>
      <w:r w:rsidRPr="00E14A16">
        <w:rPr>
          <w:rFonts w:ascii="Times New Roman" w:hAnsi="Times New Roman" w:cs="Times New Roman"/>
          <w:sz w:val="18"/>
          <w:szCs w:val="24"/>
        </w:rPr>
        <w:t>* D – dry year; N-normal year; W- wet year</w:t>
      </w:r>
    </w:p>
    <w:p w:rsidR="00E85844" w:rsidRPr="005224F4" w:rsidRDefault="00E85844" w:rsidP="00E85844">
      <w:pPr>
        <w:rPr>
          <w:rFonts w:ascii="Times New Roman" w:hAnsi="Times New Roman" w:cs="Times New Roman"/>
          <w:sz w:val="24"/>
          <w:szCs w:val="24"/>
        </w:rPr>
      </w:pPr>
    </w:p>
    <w:p w:rsidR="00E85844" w:rsidRDefault="00E85844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4F4">
        <w:rPr>
          <w:rFonts w:ascii="Times New Roman" w:hAnsi="Times New Roman" w:cs="Times New Roman"/>
          <w:sz w:val="24"/>
          <w:szCs w:val="24"/>
        </w:rPr>
        <w:t xml:space="preserve">It may be observed from Table </w:t>
      </w:r>
      <w:r w:rsidR="007801DF">
        <w:rPr>
          <w:rFonts w:ascii="Times New Roman" w:hAnsi="Times New Roman" w:cs="Times New Roman"/>
          <w:sz w:val="24"/>
          <w:szCs w:val="24"/>
        </w:rPr>
        <w:t>S-</w:t>
      </w:r>
      <w:r w:rsidR="00756CBE">
        <w:rPr>
          <w:rFonts w:ascii="Times New Roman" w:hAnsi="Times New Roman" w:cs="Times New Roman"/>
          <w:sz w:val="24"/>
          <w:szCs w:val="24"/>
        </w:rPr>
        <w:t>2.</w:t>
      </w:r>
      <w:r w:rsidRPr="005224F4">
        <w:rPr>
          <w:rFonts w:ascii="Times New Roman" w:hAnsi="Times New Roman" w:cs="Times New Roman"/>
          <w:sz w:val="24"/>
          <w:szCs w:val="24"/>
        </w:rPr>
        <w:t xml:space="preserve">1 that the optimal E-flow targets for HCA-1 (HA-HCA = 33.28%) are quite moderate throughout, resulting in low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MSI. But, with decreasing HA-HCA along the P-O front (HCA-2 to HCA-6), the E-flow targets are found to be high in August during dry flow years (10 out of 38 years) and moderately high in one or two months during October – December. The E-flow targets of wet years (8 out of 38 years) are found to be high in July or August for five P-O solutions (HCA-1 to HCA-5), while for the </w:t>
      </w:r>
      <w:r>
        <w:rPr>
          <w:rFonts w:ascii="Times New Roman" w:hAnsi="Times New Roman" w:cs="Times New Roman"/>
          <w:sz w:val="24"/>
          <w:szCs w:val="24"/>
        </w:rPr>
        <w:t xml:space="preserve">solution </w:t>
      </w:r>
      <w:r w:rsidRPr="005224F4">
        <w:rPr>
          <w:rFonts w:ascii="Times New Roman" w:hAnsi="Times New Roman" w:cs="Times New Roman"/>
          <w:sz w:val="24"/>
          <w:szCs w:val="24"/>
        </w:rPr>
        <w:t xml:space="preserve">HCA-6, the July month targets are high during normal years (22 out of 38 years). </w:t>
      </w:r>
    </w:p>
    <w:p w:rsidR="00756CBE" w:rsidRDefault="00756CBE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6CBE" w:rsidRPr="005224F4" w:rsidRDefault="00756CBE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5844" w:rsidRDefault="00E85844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4F4">
        <w:rPr>
          <w:rFonts w:ascii="Times New Roman" w:hAnsi="Times New Roman" w:cs="Times New Roman"/>
          <w:sz w:val="24"/>
          <w:szCs w:val="24"/>
        </w:rPr>
        <w:lastRenderedPageBreak/>
        <w:t>The operational performances of the six selected P-O solutions are presented in supplement Table S</w:t>
      </w:r>
      <w:r w:rsidR="009F6B60">
        <w:rPr>
          <w:rFonts w:ascii="Times New Roman" w:hAnsi="Times New Roman" w:cs="Times New Roman"/>
          <w:sz w:val="24"/>
          <w:szCs w:val="24"/>
        </w:rPr>
        <w:t>-2.2</w:t>
      </w:r>
      <w:r w:rsidRPr="006B0DB9">
        <w:rPr>
          <w:rFonts w:ascii="Times New Roman" w:hAnsi="Times New Roman" w:cs="Times New Roman"/>
          <w:sz w:val="24"/>
          <w:szCs w:val="24"/>
        </w:rPr>
        <w:t xml:space="preserve"> </w:t>
      </w:r>
      <w:r w:rsidRPr="005224F4">
        <w:rPr>
          <w:rFonts w:ascii="Times New Roman" w:hAnsi="Times New Roman" w:cs="Times New Roman"/>
          <w:sz w:val="24"/>
          <w:szCs w:val="24"/>
        </w:rPr>
        <w:t xml:space="preserve">in terms of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MSI and average monthly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deficits. With decreasing HA-HCA along the P-O front, the average monthly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deficits of April and May and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MSI are found to increase, but are reasonable. Moreover, for all the six solutions, the average E-flow deficits during the months, June and July are at 20% (being limited by the maximum average deficit constraint), whereas the same are nominal during the next six months. </w:t>
      </w:r>
    </w:p>
    <w:p w:rsidR="00316F44" w:rsidRDefault="00316F44" w:rsidP="00E8584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1DF" w:rsidRPr="00467A2D" w:rsidRDefault="007801DF" w:rsidP="00E235D4">
      <w:pPr>
        <w:pStyle w:val="Caption"/>
        <w:keepNext/>
        <w:spacing w:line="360" w:lineRule="auto"/>
        <w:ind w:left="1304" w:hanging="1304"/>
        <w:jc w:val="both"/>
        <w:rPr>
          <w:rFonts w:ascii="Times New Roman" w:eastAsia="Times New Roman" w:hAnsi="Times New Roman" w:cs="Times New Roman"/>
          <w:bCs w:val="0"/>
          <w:color w:val="000000"/>
          <w:sz w:val="22"/>
          <w:szCs w:val="22"/>
          <w:lang w:eastAsia="en-IN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Table S</w:t>
      </w:r>
      <w:r w:rsidR="009F6B60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-2.2</w:t>
      </w:r>
      <w:r w:rsidRPr="00467A2D">
        <w:rPr>
          <w:rFonts w:ascii="Times New Roman" w:hAnsi="Times New Roman" w:cs="Times New Roman"/>
          <w:b w:val="0"/>
          <w:bCs w:val="0"/>
          <w:color w:val="auto"/>
          <w:kern w:val="0"/>
          <w:sz w:val="22"/>
          <w:szCs w:val="22"/>
        </w:rPr>
        <w:t>:  Performance of the six selected P-O solutions of IMHA-HCA in terms of Irrigation MSI and average monthly Irrigation deficits.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1"/>
        <w:gridCol w:w="1191"/>
        <w:gridCol w:w="1230"/>
        <w:gridCol w:w="543"/>
        <w:gridCol w:w="543"/>
        <w:gridCol w:w="390"/>
        <w:gridCol w:w="536"/>
        <w:gridCol w:w="543"/>
        <w:gridCol w:w="390"/>
        <w:gridCol w:w="390"/>
        <w:gridCol w:w="336"/>
        <w:gridCol w:w="457"/>
        <w:gridCol w:w="530"/>
        <w:gridCol w:w="545"/>
        <w:gridCol w:w="547"/>
      </w:tblGrid>
      <w:tr w:rsidR="007801DF" w:rsidRPr="00467A2D" w:rsidTr="00197EEF">
        <w:trPr>
          <w:trHeight w:val="324"/>
        </w:trPr>
        <w:tc>
          <w:tcPr>
            <w:tcW w:w="579" w:type="pct"/>
            <w:vMerge w:val="restar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Solution</w:t>
            </w:r>
          </w:p>
        </w:tc>
        <w:tc>
          <w:tcPr>
            <w:tcW w:w="644" w:type="pct"/>
            <w:vMerge w:val="restar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HA-HCA</w:t>
            </w:r>
          </w:p>
        </w:tc>
        <w:tc>
          <w:tcPr>
            <w:tcW w:w="665" w:type="pct"/>
            <w:vMerge w:val="restart"/>
            <w:shd w:val="clear" w:color="auto" w:fill="auto"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Irrigation MSI</w:t>
            </w:r>
          </w:p>
        </w:tc>
        <w:tc>
          <w:tcPr>
            <w:tcW w:w="3111" w:type="pct"/>
            <w:gridSpan w:val="12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Average monthly Irrigation deficits</w:t>
            </w:r>
          </w:p>
        </w:tc>
      </w:tr>
      <w:tr w:rsidR="007801DF" w:rsidRPr="00467A2D" w:rsidTr="00197EEF">
        <w:trPr>
          <w:trHeight w:val="324"/>
        </w:trPr>
        <w:tc>
          <w:tcPr>
            <w:tcW w:w="579" w:type="pct"/>
            <w:vMerge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644" w:type="pct"/>
            <w:vMerge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665" w:type="pct"/>
            <w:vMerge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A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S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O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N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D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F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M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A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M</w:t>
            </w:r>
          </w:p>
        </w:tc>
      </w:tr>
      <w:tr w:rsidR="007801DF" w:rsidRPr="00467A2D" w:rsidTr="00197EE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33.28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1.22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7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</w:tr>
      <w:tr w:rsidR="007801DF" w:rsidRPr="00467A2D" w:rsidTr="00197EE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- 2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32.67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2.50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19</w:t>
            </w:r>
          </w:p>
        </w:tc>
      </w:tr>
      <w:tr w:rsidR="007801DF" w:rsidRPr="00467A2D" w:rsidTr="00197EE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- 3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31.62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2.55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11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</w:tr>
      <w:tr w:rsidR="007801DF" w:rsidRPr="00467A2D" w:rsidTr="00197EE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- 4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30.72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8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</w:tr>
      <w:tr w:rsidR="007801DF" w:rsidRPr="00467A2D" w:rsidTr="00197EE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- 5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29.70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3.12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14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20</w:t>
            </w:r>
          </w:p>
        </w:tc>
      </w:tr>
      <w:tr w:rsidR="007801DF" w:rsidRPr="00467A2D" w:rsidTr="00197EE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- 6</w:t>
            </w:r>
          </w:p>
        </w:tc>
        <w:tc>
          <w:tcPr>
            <w:tcW w:w="644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28.95</w:t>
            </w:r>
          </w:p>
        </w:tc>
        <w:tc>
          <w:tcPr>
            <w:tcW w:w="665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3.28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14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14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11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15</w:t>
            </w:r>
          </w:p>
        </w:tc>
        <w:tc>
          <w:tcPr>
            <w:tcW w:w="295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 w:rsidR="007801DF" w:rsidRPr="00467A2D" w:rsidRDefault="007801DF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20</w:t>
            </w:r>
          </w:p>
        </w:tc>
      </w:tr>
    </w:tbl>
    <w:p w:rsidR="007801DF" w:rsidRPr="00467A2D" w:rsidRDefault="007801DF" w:rsidP="007801DF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*All figures are in %</w:t>
      </w:r>
    </w:p>
    <w:p w:rsidR="007801DF" w:rsidRPr="00467A2D" w:rsidRDefault="007801DF" w:rsidP="007801DF">
      <w:pPr>
        <w:rPr>
          <w:rFonts w:ascii="Times New Roman" w:hAnsi="Times New Roman" w:cs="Times New Roman"/>
        </w:rPr>
      </w:pPr>
    </w:p>
    <w:p w:rsidR="002068BB" w:rsidRPr="0066611F" w:rsidRDefault="002068BB" w:rsidP="002068BB">
      <w:pPr>
        <w:spacing w:line="480" w:lineRule="auto"/>
        <w:jc w:val="both"/>
        <w:rPr>
          <w:rFonts w:ascii="Times New Roman" w:hAnsi="Times New Roman" w:cs="Times New Roman"/>
          <w:b/>
          <w:noProof/>
          <w:kern w:val="0"/>
          <w:u w:val="single"/>
          <w:lang w:eastAsia="en-IN" w:bidi="ta-IN"/>
        </w:rPr>
      </w:pPr>
      <w:r w:rsidRPr="005D53A2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-2.</w:t>
      </w:r>
      <w:r w:rsidRPr="005D53A2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DB6EEB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E</w:t>
      </w:r>
      <w:r w:rsidRPr="0066611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ffectiveness of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R</w:t>
      </w:r>
      <w:r w:rsidRPr="0066611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eservoir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O</w:t>
      </w:r>
      <w:r w:rsidRPr="0066611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peration</w:t>
      </w:r>
    </w:p>
    <w:p w:rsidR="002068BB" w:rsidRDefault="002068BB" w:rsidP="002068B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The discussion is presented only for HCA-1 and HCA-2, since there is no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significant </w:t>
      </w:r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>difference either in the decision parameters or the deficits performances for HCA-2, HCA-3, HCA-4, HCA-5 and HCA-6.</w:t>
      </w:r>
      <w:r w:rsidRPr="00522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facilitate the discussion the </w:t>
      </w:r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rule curve diagram containing the carry-over storage rule curve,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Irrigation</w:t>
      </w:r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Rule Curve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IRC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j</m:t>
            </m:r>
          </m:sub>
        </m:sSub>
      </m:oMath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>) and E-flows rule curve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ERC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j</m:t>
            </m:r>
          </m:sub>
        </m:sSub>
      </m:oMath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 and </w:t>
      </w:r>
      <w:r w:rsidRPr="005224F4">
        <w:rPr>
          <w:rFonts w:ascii="Times New Roman" w:hAnsi="Times New Roman" w:cs="Times New Roman"/>
          <w:sz w:val="24"/>
          <w:szCs w:val="24"/>
        </w:rPr>
        <w:t xml:space="preserve">the respective decision parameters (rule curve parameters and release factors) </w:t>
      </w:r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corresponding to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Irrigation</w:t>
      </w:r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E-flows,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are</w:t>
      </w:r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shown in </w:t>
      </w:r>
      <w:r w:rsidRPr="00D839C0">
        <w:rPr>
          <w:rFonts w:ascii="Times New Roman" w:hAnsi="Times New Roman" w:cs="Times New Roman"/>
          <w:bCs/>
          <w:sz w:val="24"/>
          <w:szCs w:val="24"/>
          <w:lang w:val="en-GB"/>
        </w:rPr>
        <w:t>Fig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491EF9">
        <w:rPr>
          <w:rFonts w:ascii="Times New Roman" w:hAnsi="Times New Roman" w:cs="Times New Roman"/>
          <w:bCs/>
          <w:sz w:val="24"/>
          <w:szCs w:val="24"/>
          <w:lang w:val="en-GB"/>
        </w:rPr>
        <w:t>S-2.2</w:t>
      </w:r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In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addition, the Table </w:t>
      </w:r>
      <w:r w:rsidRPr="00DA683F">
        <w:rPr>
          <w:rFonts w:ascii="Times New Roman" w:hAnsi="Times New Roman" w:cs="Times New Roman"/>
          <w:bCs/>
          <w:sz w:val="24"/>
          <w:szCs w:val="24"/>
          <w:lang w:val="en-GB"/>
        </w:rPr>
        <w:t>S</w:t>
      </w:r>
      <w:r w:rsidR="0071335F">
        <w:rPr>
          <w:rFonts w:ascii="Times New Roman" w:hAnsi="Times New Roman" w:cs="Times New Roman"/>
          <w:bCs/>
          <w:sz w:val="24"/>
          <w:szCs w:val="24"/>
          <w:lang w:val="en-GB"/>
        </w:rPr>
        <w:t>-2.3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of </w:t>
      </w:r>
      <w:r w:rsidRPr="00AA7EB1">
        <w:rPr>
          <w:rFonts w:ascii="Times New Roman" w:hAnsi="Times New Roman" w:cs="Times New Roman"/>
          <w:bCs/>
          <w:sz w:val="24"/>
          <w:szCs w:val="24"/>
          <w:lang w:val="en-GB"/>
        </w:rPr>
        <w:t>supplement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may also be referred.</w:t>
      </w:r>
    </w:p>
    <w:p w:rsidR="002068BB" w:rsidRDefault="002068BB" w:rsidP="002068B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:rsidR="002068BB" w:rsidRDefault="002068BB" w:rsidP="002068B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4F4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F60C1E" wp14:editId="513BAAB2">
            <wp:extent cx="54673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4F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68BB" w:rsidRDefault="002068BB" w:rsidP="002068B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:rsidR="002068BB" w:rsidRDefault="002068BB" w:rsidP="002068B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1059A9" wp14:editId="034C90EC">
            <wp:extent cx="5495925" cy="3514725"/>
            <wp:effectExtent l="0" t="0" r="9525" b="9525"/>
            <wp:docPr id="2" name="Picture 2" descr="Fig2_HC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2_HCA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8BB" w:rsidRDefault="002068BB" w:rsidP="002068B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2068BB" w:rsidRDefault="002068BB" w:rsidP="002068B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227BC">
        <w:rPr>
          <w:rFonts w:ascii="Times New Roman" w:hAnsi="Times New Roman" w:cs="Times New Roman"/>
          <w:bCs/>
          <w:sz w:val="24"/>
          <w:szCs w:val="24"/>
        </w:rPr>
        <w:t>Fig</w:t>
      </w:r>
      <w:r w:rsidRPr="00E2391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E239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91EF9">
        <w:rPr>
          <w:rFonts w:ascii="Times New Roman" w:hAnsi="Times New Roman" w:cs="Times New Roman"/>
          <w:bCs/>
          <w:sz w:val="24"/>
          <w:szCs w:val="24"/>
        </w:rPr>
        <w:t>S-2.2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6C2BFA">
        <w:rPr>
          <w:rFonts w:ascii="Times New Roman" w:hAnsi="Times New Roman" w:cs="Times New Roman"/>
          <w:bCs/>
          <w:sz w:val="24"/>
          <w:szCs w:val="24"/>
        </w:rPr>
        <w:t>Zone-wise Rule Curves of IMHA-HCA model run corresponding to the P-O solutions: (a) HCA – 1 and (b)</w:t>
      </w:r>
      <w:r w:rsidRPr="00040AC9">
        <w:rPr>
          <w:rFonts w:ascii="Times New Roman" w:hAnsi="Times New Roman" w:cs="Times New Roman"/>
          <w:bCs/>
          <w:sz w:val="24"/>
          <w:szCs w:val="24"/>
        </w:rPr>
        <w:t xml:space="preserve"> HCA – 2 </w:t>
      </w:r>
      <w:r>
        <w:rPr>
          <w:rFonts w:ascii="Times New Roman" w:hAnsi="Times New Roman" w:cs="Times New Roman"/>
          <w:bCs/>
          <w:sz w:val="24"/>
          <w:szCs w:val="24"/>
        </w:rPr>
        <w:t>(rule curve parameters and release factors of Irrigation and E-flow are indicated within the Figure)</w:t>
      </w:r>
    </w:p>
    <w:p w:rsidR="002068BB" w:rsidRPr="00040AC9" w:rsidRDefault="002068BB" w:rsidP="002068BB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8BB" w:rsidRDefault="002068BB" w:rsidP="002068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4F4">
        <w:rPr>
          <w:rFonts w:ascii="Times New Roman" w:hAnsi="Times New Roman" w:cs="Times New Roman"/>
          <w:sz w:val="24"/>
          <w:szCs w:val="24"/>
        </w:rPr>
        <w:t xml:space="preserve">It may be observed from Fig. </w:t>
      </w:r>
      <w:r w:rsidR="000E719C">
        <w:rPr>
          <w:rFonts w:ascii="Times New Roman" w:hAnsi="Times New Roman" w:cs="Times New Roman"/>
          <w:sz w:val="24"/>
          <w:szCs w:val="24"/>
        </w:rPr>
        <w:t>S-2.2</w:t>
      </w:r>
      <w:r w:rsidRPr="005224F4">
        <w:rPr>
          <w:rFonts w:ascii="Times New Roman" w:hAnsi="Times New Roman" w:cs="Times New Roman"/>
          <w:sz w:val="24"/>
          <w:szCs w:val="24"/>
        </w:rPr>
        <w:t xml:space="preserve"> that in case of HCA-HA-33.28 (HCA-1), the widths of zone-1 and zone-2 are </w:t>
      </w:r>
      <w:r>
        <w:rPr>
          <w:rFonts w:ascii="Times New Roman" w:hAnsi="Times New Roman" w:cs="Times New Roman"/>
          <w:sz w:val="24"/>
          <w:szCs w:val="24"/>
        </w:rPr>
        <w:t>significant</w:t>
      </w:r>
      <w:r w:rsidRPr="005224F4">
        <w:rPr>
          <w:rFonts w:ascii="Times New Roman" w:hAnsi="Times New Roman" w:cs="Times New Roman"/>
          <w:sz w:val="24"/>
          <w:szCs w:val="24"/>
        </w:rPr>
        <w:t xml:space="preserve">, with the release factor for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being quite high in both these hedging zones, giving rise to high number of </w:t>
      </w:r>
      <w:r>
        <w:rPr>
          <w:rFonts w:ascii="Times New Roman" w:hAnsi="Times New Roman" w:cs="Times New Roman"/>
          <w:sz w:val="24"/>
          <w:szCs w:val="24"/>
        </w:rPr>
        <w:t>mild 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deficits, </w:t>
      </w:r>
      <w:r>
        <w:rPr>
          <w:rFonts w:ascii="Times New Roman" w:hAnsi="Times New Roman" w:cs="Times New Roman"/>
          <w:sz w:val="24"/>
          <w:szCs w:val="24"/>
        </w:rPr>
        <w:t xml:space="preserve">resulting in low MSI and </w:t>
      </w:r>
      <w:r w:rsidRPr="005224F4">
        <w:rPr>
          <w:rFonts w:ascii="Times New Roman" w:hAnsi="Times New Roman" w:cs="Times New Roman"/>
          <w:sz w:val="24"/>
          <w:szCs w:val="24"/>
        </w:rPr>
        <w:t>average monthly deficits (Table S</w:t>
      </w:r>
      <w:r w:rsidR="00C30A78">
        <w:rPr>
          <w:rFonts w:ascii="Times New Roman" w:hAnsi="Times New Roman" w:cs="Times New Roman"/>
          <w:sz w:val="24"/>
          <w:szCs w:val="24"/>
        </w:rPr>
        <w:t>-2.2</w:t>
      </w:r>
      <w:r w:rsidRPr="005224F4">
        <w:rPr>
          <w:rFonts w:ascii="Times New Roman" w:hAnsi="Times New Roman" w:cs="Times New Roman"/>
          <w:sz w:val="24"/>
          <w:szCs w:val="24"/>
        </w:rPr>
        <w:t>). On the other hand, E-flow releases do not seem to undergo any hedging in zone-2, whereas in zone-1, the release factor is dismally low. As a result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224F4">
        <w:rPr>
          <w:rFonts w:ascii="Times New Roman" w:hAnsi="Times New Roman" w:cs="Times New Roman"/>
          <w:sz w:val="24"/>
          <w:szCs w:val="24"/>
        </w:rPr>
        <w:t xml:space="preserve"> 87% of the periods in the operation horizon do not face any E-flow deficit, whereas most of the remaining periods experience moderate to very severe deficits (Table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521B96">
        <w:rPr>
          <w:rFonts w:ascii="Times New Roman" w:hAnsi="Times New Roman" w:cs="Times New Roman"/>
          <w:sz w:val="24"/>
          <w:szCs w:val="24"/>
        </w:rPr>
        <w:t>-2.3</w:t>
      </w:r>
      <w:r w:rsidRPr="005224F4">
        <w:rPr>
          <w:rFonts w:ascii="Times New Roman" w:hAnsi="Times New Roman" w:cs="Times New Roman"/>
          <w:sz w:val="24"/>
          <w:szCs w:val="24"/>
        </w:rPr>
        <w:t xml:space="preserve">). When compared with HCA-1, in case of HCA-2, there is a significant increase in zero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deficit periods and drastic reduction in mild deficit periods, when the storage is in zones 3 and</w:t>
      </w:r>
      <w:r>
        <w:rPr>
          <w:rFonts w:ascii="Times New Roman" w:hAnsi="Times New Roman" w:cs="Times New Roman"/>
          <w:sz w:val="24"/>
          <w:szCs w:val="24"/>
        </w:rPr>
        <w:t xml:space="preserve"> in the transition zone</w:t>
      </w:r>
      <w:r w:rsidRPr="005224F4">
        <w:rPr>
          <w:rFonts w:ascii="Times New Roman" w:hAnsi="Times New Roman" w:cs="Times New Roman"/>
          <w:sz w:val="24"/>
          <w:szCs w:val="24"/>
        </w:rPr>
        <w:t xml:space="preserve"> 2-3. However, this is more than offset by a high increase in the number of moderately severe and very severe deficit periods (Table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882BBE">
        <w:rPr>
          <w:rFonts w:ascii="Times New Roman" w:hAnsi="Times New Roman" w:cs="Times New Roman"/>
          <w:sz w:val="24"/>
          <w:szCs w:val="24"/>
        </w:rPr>
        <w:t>-2.3</w:t>
      </w:r>
      <w:r w:rsidRPr="005224F4">
        <w:rPr>
          <w:rFonts w:ascii="Times New Roman" w:hAnsi="Times New Roman" w:cs="Times New Roman"/>
          <w:sz w:val="24"/>
          <w:szCs w:val="24"/>
        </w:rPr>
        <w:t xml:space="preserve">), as the storage drops to zone-1, resulting in a significant increase in </w:t>
      </w:r>
      <w:r>
        <w:rPr>
          <w:rFonts w:ascii="Times New Roman" w:hAnsi="Times New Roman" w:cs="Times New Roman"/>
          <w:sz w:val="24"/>
          <w:szCs w:val="24"/>
        </w:rPr>
        <w:t>Irrigation</w:t>
      </w:r>
      <w:r w:rsidRPr="005224F4">
        <w:rPr>
          <w:rFonts w:ascii="Times New Roman" w:hAnsi="Times New Roman" w:cs="Times New Roman"/>
          <w:sz w:val="24"/>
          <w:szCs w:val="24"/>
        </w:rPr>
        <w:t xml:space="preserve"> MSI and dry season deficits</w:t>
      </w:r>
      <w:r>
        <w:rPr>
          <w:rFonts w:ascii="Times New Roman" w:hAnsi="Times New Roman" w:cs="Times New Roman"/>
          <w:sz w:val="24"/>
          <w:szCs w:val="24"/>
        </w:rPr>
        <w:t xml:space="preserve"> (Table S</w:t>
      </w:r>
      <w:r w:rsidR="00882BBE">
        <w:rPr>
          <w:rFonts w:ascii="Times New Roman" w:hAnsi="Times New Roman" w:cs="Times New Roman"/>
          <w:sz w:val="24"/>
          <w:szCs w:val="24"/>
        </w:rPr>
        <w:t>-2.2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224F4">
        <w:rPr>
          <w:rFonts w:ascii="Times New Roman" w:hAnsi="Times New Roman" w:cs="Times New Roman"/>
          <w:sz w:val="24"/>
          <w:szCs w:val="24"/>
        </w:rPr>
        <w:t xml:space="preserve">. In case of E-flows, from </w:t>
      </w:r>
      <w:r>
        <w:rPr>
          <w:rFonts w:ascii="Times New Roman" w:hAnsi="Times New Roman" w:cs="Times New Roman"/>
          <w:sz w:val="24"/>
          <w:szCs w:val="24"/>
        </w:rPr>
        <w:t>HCA-1</w:t>
      </w:r>
      <w:r w:rsidRPr="005224F4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HCA-2</w:t>
      </w:r>
      <w:r w:rsidRPr="005224F4">
        <w:rPr>
          <w:rFonts w:ascii="Times New Roman" w:hAnsi="Times New Roman" w:cs="Times New Roman"/>
          <w:sz w:val="24"/>
          <w:szCs w:val="24"/>
        </w:rPr>
        <w:t>, there is a high increase in very severe deficits</w:t>
      </w:r>
      <w:r>
        <w:rPr>
          <w:rFonts w:ascii="Times New Roman" w:hAnsi="Times New Roman" w:cs="Times New Roman"/>
          <w:sz w:val="24"/>
          <w:szCs w:val="24"/>
        </w:rPr>
        <w:t xml:space="preserve">, owing to an </w:t>
      </w:r>
      <w:r w:rsidRPr="005224F4">
        <w:rPr>
          <w:rFonts w:ascii="Times New Roman" w:hAnsi="Times New Roman" w:cs="Times New Roman"/>
          <w:sz w:val="24"/>
          <w:szCs w:val="24"/>
        </w:rPr>
        <w:t xml:space="preserve">increase in the </w:t>
      </w:r>
      <w:r>
        <w:rPr>
          <w:rFonts w:ascii="Times New Roman" w:hAnsi="Times New Roman" w:cs="Times New Roman"/>
          <w:sz w:val="24"/>
          <w:szCs w:val="24"/>
        </w:rPr>
        <w:t>number of resident periods</w:t>
      </w:r>
      <w:r w:rsidRPr="005224F4">
        <w:rPr>
          <w:rFonts w:ascii="Times New Roman" w:hAnsi="Times New Roman" w:cs="Times New Roman"/>
          <w:sz w:val="24"/>
          <w:szCs w:val="24"/>
        </w:rPr>
        <w:t xml:space="preserve"> in zone-1 </w:t>
      </w:r>
      <w:r>
        <w:rPr>
          <w:rFonts w:ascii="Times New Roman" w:hAnsi="Times New Roman" w:cs="Times New Roman"/>
          <w:sz w:val="24"/>
          <w:szCs w:val="24"/>
        </w:rPr>
        <w:t>(Table S</w:t>
      </w:r>
      <w:r w:rsidR="00424365">
        <w:rPr>
          <w:rFonts w:ascii="Times New Roman" w:hAnsi="Times New Roman" w:cs="Times New Roman"/>
          <w:sz w:val="24"/>
          <w:szCs w:val="24"/>
        </w:rPr>
        <w:t>-2.3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224F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despite a lesser</w:t>
      </w:r>
      <w:r w:rsidRPr="005224F4">
        <w:rPr>
          <w:rFonts w:ascii="Times New Roman" w:hAnsi="Times New Roman" w:cs="Times New Roman"/>
          <w:sz w:val="24"/>
          <w:szCs w:val="24"/>
        </w:rPr>
        <w:t xml:space="preserve"> width of zone-1 and </w:t>
      </w:r>
      <w:r>
        <w:rPr>
          <w:rFonts w:ascii="Times New Roman" w:hAnsi="Times New Roman" w:cs="Times New Roman"/>
          <w:sz w:val="24"/>
          <w:szCs w:val="24"/>
        </w:rPr>
        <w:t>a better</w:t>
      </w:r>
      <w:r w:rsidRPr="005224F4">
        <w:rPr>
          <w:rFonts w:ascii="Times New Roman" w:hAnsi="Times New Roman" w:cs="Times New Roman"/>
          <w:sz w:val="24"/>
          <w:szCs w:val="24"/>
        </w:rPr>
        <w:t xml:space="preserve"> E-flow release factor </w:t>
      </w:r>
      <w:r>
        <w:rPr>
          <w:rFonts w:ascii="Times New Roman" w:hAnsi="Times New Roman" w:cs="Times New Roman"/>
          <w:sz w:val="24"/>
          <w:szCs w:val="24"/>
        </w:rPr>
        <w:t xml:space="preserve">(Fig. </w:t>
      </w:r>
      <w:proofErr w:type="gramStart"/>
      <w:r w:rsidR="00424365">
        <w:rPr>
          <w:rFonts w:ascii="Times New Roman" w:hAnsi="Times New Roman" w:cs="Times New Roman"/>
          <w:sz w:val="24"/>
          <w:szCs w:val="24"/>
        </w:rPr>
        <w:t>S-2.2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224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224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68BB" w:rsidRPr="00467A2D" w:rsidRDefault="002068BB" w:rsidP="002068BB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:rsidR="002068BB" w:rsidRPr="00467A2D" w:rsidRDefault="002068BB" w:rsidP="002068BB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:rsidR="002068BB" w:rsidRPr="00467A2D" w:rsidRDefault="002068BB" w:rsidP="002068BB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:rsidR="002068BB" w:rsidRPr="00467A2D" w:rsidRDefault="002068BB" w:rsidP="002068BB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:rsidR="002068BB" w:rsidRPr="00467A2D" w:rsidRDefault="002068BB" w:rsidP="002068BB">
      <w:pPr>
        <w:spacing w:line="480" w:lineRule="auto"/>
        <w:jc w:val="both"/>
        <w:rPr>
          <w:rFonts w:ascii="Times New Roman" w:hAnsi="Times New Roman" w:cs="Times New Roman"/>
          <w:noProof/>
          <w:kern w:val="0"/>
          <w:lang w:eastAsia="en-IN" w:bidi="ta-IN"/>
        </w:rPr>
      </w:pPr>
    </w:p>
    <w:p w:rsidR="002068BB" w:rsidRPr="00467A2D" w:rsidRDefault="002068BB" w:rsidP="002068BB">
      <w:pPr>
        <w:rPr>
          <w:rFonts w:ascii="Times New Roman" w:hAnsi="Times New Roman" w:cs="Times New Roman"/>
          <w:noProof/>
          <w:kern w:val="0"/>
          <w:lang w:eastAsia="en-IN" w:bidi="ta-IN"/>
        </w:rPr>
        <w:sectPr w:rsidR="002068BB" w:rsidRPr="00467A2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068BB" w:rsidRPr="00467A2D" w:rsidRDefault="002068BB" w:rsidP="002068BB">
      <w:pPr>
        <w:ind w:left="1440" w:hanging="1440"/>
        <w:rPr>
          <w:rFonts w:ascii="Times New Roman" w:hAnsi="Times New Roman" w:cs="Times New Roman"/>
          <w:bCs/>
          <w:lang w:val="en-GB"/>
        </w:rPr>
      </w:pPr>
      <w:r w:rsidRPr="00467A2D">
        <w:rPr>
          <w:rFonts w:ascii="Times New Roman" w:hAnsi="Times New Roman" w:cs="Times New Roman"/>
          <w:bCs/>
          <w:lang w:val="en-GB"/>
        </w:rPr>
        <w:lastRenderedPageBreak/>
        <w:t>Table S</w:t>
      </w:r>
      <w:r w:rsidR="0071335F">
        <w:rPr>
          <w:rFonts w:ascii="Times New Roman" w:hAnsi="Times New Roman" w:cs="Times New Roman"/>
          <w:bCs/>
          <w:lang w:val="en-GB"/>
        </w:rPr>
        <w:t>-2.3</w:t>
      </w:r>
      <w:r w:rsidRPr="00467A2D">
        <w:rPr>
          <w:rFonts w:ascii="Times New Roman" w:hAnsi="Times New Roman" w:cs="Times New Roman"/>
          <w:bCs/>
          <w:lang w:val="en-GB"/>
        </w:rPr>
        <w:t>:</w:t>
      </w:r>
      <w:r w:rsidRPr="00467A2D">
        <w:rPr>
          <w:rFonts w:ascii="Times New Roman" w:hAnsi="Times New Roman" w:cs="Times New Roman"/>
          <w:bCs/>
          <w:lang w:val="en-GB"/>
        </w:rPr>
        <w:tab/>
        <w:t>Distribution of deficits in various storage zones during the simulation period for two selected solutions from the P-O front of IMHA-HCA.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1"/>
        <w:gridCol w:w="1392"/>
        <w:gridCol w:w="1383"/>
        <w:gridCol w:w="981"/>
        <w:gridCol w:w="1398"/>
        <w:gridCol w:w="1074"/>
        <w:gridCol w:w="1046"/>
        <w:gridCol w:w="1284"/>
        <w:gridCol w:w="964"/>
        <w:gridCol w:w="1398"/>
        <w:gridCol w:w="1074"/>
        <w:gridCol w:w="958"/>
        <w:gridCol w:w="11"/>
      </w:tblGrid>
      <w:tr w:rsidR="002068BB" w:rsidRPr="00467A2D" w:rsidTr="00197EEF">
        <w:trPr>
          <w:gridAfter w:val="1"/>
          <w:wAfter w:w="4" w:type="pct"/>
          <w:trHeight w:val="324"/>
        </w:trPr>
        <w:tc>
          <w:tcPr>
            <w:tcW w:w="918" w:type="pct"/>
            <w:gridSpan w:val="2"/>
            <w:vMerge w:val="restart"/>
            <w:shd w:val="clear" w:color="auto" w:fill="auto"/>
            <w:noWrap/>
            <w:vAlign w:val="center"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2075" w:type="pct"/>
            <w:gridSpan w:val="5"/>
            <w:shd w:val="clear" w:color="auto" w:fill="auto"/>
            <w:vAlign w:val="center"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E-flows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Irrigation</w:t>
            </w:r>
          </w:p>
        </w:tc>
      </w:tr>
      <w:tr w:rsidR="002068BB" w:rsidRPr="00467A2D" w:rsidTr="00197EEF">
        <w:trPr>
          <w:gridAfter w:val="1"/>
          <w:wAfter w:w="4" w:type="pct"/>
          <w:trHeight w:val="324"/>
        </w:trPr>
        <w:tc>
          <w:tcPr>
            <w:tcW w:w="918" w:type="pct"/>
            <w:gridSpan w:val="2"/>
            <w:vMerge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4078" w:type="pct"/>
            <w:gridSpan w:val="10"/>
            <w:shd w:val="clear" w:color="auto" w:fill="auto"/>
            <w:vAlign w:val="center"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IMHA-HCA-33.28 (HCA - 1)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vMerge w:val="restar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Initial storage  zone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Number of periods</w:t>
            </w:r>
          </w:p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(456)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87" w:type="pct"/>
            <w:gridSpan w:val="4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  <w:tc>
          <w:tcPr>
            <w:tcW w:w="453" w:type="pct"/>
            <w:vMerge w:val="restar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54" w:type="pct"/>
            <w:gridSpan w:val="5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</w:tr>
      <w:tr w:rsidR="002068BB" w:rsidRPr="00467A2D" w:rsidTr="00197EEF">
        <w:trPr>
          <w:trHeight w:val="936"/>
        </w:trPr>
        <w:tc>
          <w:tcPr>
            <w:tcW w:w="427" w:type="pct"/>
            <w:vMerge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91" w:type="pct"/>
            <w:vMerge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6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6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  <w:tc>
          <w:tcPr>
            <w:tcW w:w="453" w:type="pct"/>
            <w:vMerge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</w:t>
            </w:r>
          </w:p>
        </w:tc>
        <w:tc>
          <w:tcPr>
            <w:tcW w:w="491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346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74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74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74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 to 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313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313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45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268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 to 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28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15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25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2068BB" w:rsidRPr="00467A2D" w:rsidTr="00197EEF">
        <w:trPr>
          <w:trHeight w:val="324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29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28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</w:tr>
      <w:tr w:rsidR="002068BB" w:rsidRPr="00467A2D" w:rsidTr="00197EEF">
        <w:trPr>
          <w:gridAfter w:val="1"/>
          <w:wAfter w:w="4" w:type="pct"/>
          <w:trHeight w:val="324"/>
        </w:trPr>
        <w:tc>
          <w:tcPr>
            <w:tcW w:w="918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4078" w:type="pct"/>
            <w:gridSpan w:val="10"/>
            <w:shd w:val="clear" w:color="auto" w:fill="auto"/>
            <w:vAlign w:val="center"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IMHA-HCA-32.67 (HCA - 2)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vMerge w:val="restar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Initial storage  zone</w:t>
            </w:r>
          </w:p>
        </w:tc>
        <w:tc>
          <w:tcPr>
            <w:tcW w:w="491" w:type="pct"/>
            <w:vMerge w:val="restar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Number of periods (456)</w:t>
            </w:r>
          </w:p>
        </w:tc>
        <w:tc>
          <w:tcPr>
            <w:tcW w:w="488" w:type="pct"/>
            <w:vMerge w:val="restar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87" w:type="pct"/>
            <w:gridSpan w:val="4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  <w:tc>
          <w:tcPr>
            <w:tcW w:w="453" w:type="pct"/>
            <w:vMerge w:val="restar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Number of zero deficit periods </w:t>
            </w:r>
          </w:p>
        </w:tc>
        <w:tc>
          <w:tcPr>
            <w:tcW w:w="1554" w:type="pct"/>
            <w:gridSpan w:val="5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Distribution of deficit periods</w:t>
            </w:r>
          </w:p>
        </w:tc>
      </w:tr>
      <w:tr w:rsidR="002068BB" w:rsidRPr="00467A2D" w:rsidTr="00197EEF">
        <w:trPr>
          <w:trHeight w:val="936"/>
        </w:trPr>
        <w:tc>
          <w:tcPr>
            <w:tcW w:w="427" w:type="pct"/>
            <w:vMerge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91" w:type="pct"/>
            <w:vMerge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6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6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  <w:tc>
          <w:tcPr>
            <w:tcW w:w="453" w:type="pct"/>
            <w:vMerge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Mild</w:t>
            </w: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br/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Moderate </w:t>
            </w:r>
          </w:p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Severe</w:t>
            </w:r>
          </w:p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Very severe 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</w:t>
            </w:r>
          </w:p>
        </w:tc>
        <w:tc>
          <w:tcPr>
            <w:tcW w:w="491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6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126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126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126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 to 3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263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263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233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2068BB" w:rsidRPr="00467A2D" w:rsidTr="00197EEF">
        <w:trPr>
          <w:trHeight w:val="312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 to 2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12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9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11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</w:tr>
      <w:tr w:rsidR="002068BB" w:rsidRPr="00467A2D" w:rsidTr="00197EEF">
        <w:trPr>
          <w:trHeight w:val="324"/>
        </w:trPr>
        <w:tc>
          <w:tcPr>
            <w:tcW w:w="427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491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53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6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52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493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43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342" w:type="pct"/>
            <w:gridSpan w:val="2"/>
            <w:shd w:val="clear" w:color="auto" w:fill="auto"/>
            <w:noWrap/>
            <w:vAlign w:val="center"/>
            <w:hideMark/>
          </w:tcPr>
          <w:p w:rsidR="002068BB" w:rsidRPr="00467A2D" w:rsidRDefault="002068BB" w:rsidP="00197E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7</w:t>
            </w:r>
          </w:p>
        </w:tc>
      </w:tr>
    </w:tbl>
    <w:p w:rsidR="002068BB" w:rsidRDefault="002068BB" w:rsidP="002068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CEB">
        <w:rPr>
          <w:rFonts w:ascii="Times New Roman" w:hAnsi="Times New Roman" w:cs="Times New Roman"/>
          <w:noProof/>
          <w:kern w:val="0"/>
          <w:sz w:val="18"/>
          <w:szCs w:val="16"/>
          <w:lang w:eastAsia="en-IN" w:bidi="ta-IN"/>
        </w:rPr>
        <w:t>*</w:t>
      </w:r>
      <w:r w:rsidRPr="009B2CEB">
        <w:rPr>
          <w:rFonts w:ascii="Times New Roman" w:hAnsi="Times New Roman" w:cs="Times New Roman"/>
          <w:sz w:val="18"/>
          <w:szCs w:val="16"/>
        </w:rPr>
        <w:t>very severe (≥70%); severe (50%-70%); moderate (20%-50%) and mild (&gt;0 and &lt;20%)</w:t>
      </w:r>
    </w:p>
    <w:p w:rsidR="000B72F3" w:rsidRDefault="002B07E0"/>
    <w:sectPr w:rsidR="000B72F3" w:rsidSect="009C7D3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44"/>
    <w:rsid w:val="000049C6"/>
    <w:rsid w:val="000A1ABA"/>
    <w:rsid w:val="000E719C"/>
    <w:rsid w:val="001F6180"/>
    <w:rsid w:val="002068BB"/>
    <w:rsid w:val="002B07E0"/>
    <w:rsid w:val="00316F44"/>
    <w:rsid w:val="003249A0"/>
    <w:rsid w:val="004020EA"/>
    <w:rsid w:val="00424365"/>
    <w:rsid w:val="00491EF9"/>
    <w:rsid w:val="00521B96"/>
    <w:rsid w:val="0055357D"/>
    <w:rsid w:val="00663649"/>
    <w:rsid w:val="0071335F"/>
    <w:rsid w:val="00756CBE"/>
    <w:rsid w:val="007801DF"/>
    <w:rsid w:val="007E3DDA"/>
    <w:rsid w:val="00882BBE"/>
    <w:rsid w:val="009C7D30"/>
    <w:rsid w:val="009F21AA"/>
    <w:rsid w:val="009F6B60"/>
    <w:rsid w:val="00C30A78"/>
    <w:rsid w:val="00E235D4"/>
    <w:rsid w:val="00E85844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44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584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44"/>
    <w:rPr>
      <w:rFonts w:ascii="Tahoma" w:hAnsi="Tahoma" w:cs="Tahoma"/>
      <w:kern w:val="2"/>
      <w:sz w:val="16"/>
      <w:szCs w:val="1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E3D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44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8584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844"/>
    <w:rPr>
      <w:rFonts w:ascii="Tahoma" w:hAnsi="Tahoma" w:cs="Tahoma"/>
      <w:kern w:val="2"/>
      <w:sz w:val="16"/>
      <w:szCs w:val="1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E3D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rubyphdwor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MADHURIMA</dc:creator>
  <cp:lastModifiedBy>MADHURIMA</cp:lastModifiedBy>
  <cp:revision>38</cp:revision>
  <dcterms:created xsi:type="dcterms:W3CDTF">2024-09-01T11:59:00Z</dcterms:created>
  <dcterms:modified xsi:type="dcterms:W3CDTF">2024-09-02T11:39:00Z</dcterms:modified>
</cp:coreProperties>
</file>