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libri Bold" w:hAnsi="Calibri Bold" w:cs="Calibri Bold"/>
          <w:b/>
          <w:bCs/>
          <w:sz w:val="24"/>
          <w:szCs w:val="24"/>
          <w:lang w:val="en-US"/>
        </w:rPr>
      </w:pPr>
      <w:r>
        <w:rPr>
          <w:rFonts w:hint="default" w:ascii="Calibri Bold" w:hAnsi="Calibri Bold" w:cs="Calibri Bold"/>
          <w:b/>
          <w:bCs/>
          <w:sz w:val="24"/>
          <w:szCs w:val="24"/>
          <w:lang w:val="en-US"/>
        </w:rPr>
        <w:t>KR industries Hybrid Cloud Architecture Draft</w:t>
      </w:r>
    </w:p>
    <w:p>
      <w:pPr>
        <w:rPr>
          <w:rFonts w:hint="eastAsia"/>
        </w:rPr>
      </w:pPr>
      <w:r>
        <w:rPr>
          <w:rFonts w:hint="default" w:ascii="Calibri Bold" w:hAnsi="Calibri Bold" w:cs="Calibri Bold"/>
          <w:b/>
          <w:bCs/>
        </w:rPr>
        <w:t>On-Premise Infrastructure: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Reserved physical servers (for critical on-premise applications)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On-premise storage system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Local network (including firewalls, switches, etc.)</w:t>
      </w:r>
    </w:p>
    <w:p>
      <w:pPr>
        <w:rPr>
          <w:rFonts w:hint="eastAsia"/>
        </w:rPr>
      </w:pPr>
    </w:p>
    <w:p>
      <w:pPr>
        <w:rPr>
          <w:rFonts w:hint="default" w:ascii="Calibri Bold" w:hAnsi="Calibri Bold" w:cs="Calibri Bold"/>
          <w:b/>
          <w:bCs/>
        </w:rPr>
      </w:pPr>
      <w:r>
        <w:rPr>
          <w:rFonts w:hint="default" w:ascii="Calibri Bold" w:hAnsi="Calibri Bold" w:cs="Calibri Bold"/>
          <w:b/>
          <w:bCs/>
        </w:rPr>
        <w:t>Azure Cloud Infrastructure: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Virtual Network (VNet)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ExpressRoute (for secure, high-speed on-premise to cloud connection)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Virtual Machines (for migrated application servers)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SQL Database (for migrated databases)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Storage (Blob and File storage)</w:t>
      </w:r>
    </w:p>
    <w:p>
      <w:pPr>
        <w:rPr>
          <w:rFonts w:hint="eastAsia"/>
        </w:rPr>
      </w:pPr>
    </w:p>
    <w:p>
      <w:pPr>
        <w:rPr>
          <w:rFonts w:hint="default" w:ascii="Calibri Bold" w:hAnsi="Calibri Bold" w:cs="Calibri Bold"/>
          <w:b/>
          <w:bCs/>
        </w:rPr>
      </w:pPr>
      <w:r>
        <w:rPr>
          <w:rFonts w:hint="default" w:ascii="Calibri Bold" w:hAnsi="Calibri Bold" w:cs="Calibri Bold"/>
          <w:b/>
          <w:bCs/>
        </w:rPr>
        <w:t>Hybrid Identity: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Active Directory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AD Connect (synchronizes on-premise AD with Azure AD)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 w:ascii="Calibri Bold" w:hAnsi="Calibri Bold" w:cs="Calibri Bold"/>
          <w:b/>
          <w:bCs/>
        </w:rPr>
        <w:t>Security and Compliance: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Security Center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Key Vault</w:t>
      </w:r>
    </w:p>
    <w:p>
      <w:pPr>
        <w:rPr>
          <w:rFonts w:hint="eastAsia"/>
        </w:rPr>
      </w:pPr>
    </w:p>
    <w:p>
      <w:pPr>
        <w:rPr>
          <w:rFonts w:hint="default" w:ascii="Calibri Bold" w:hAnsi="Calibri Bold" w:cs="Calibri Bold"/>
          <w:b/>
          <w:bCs/>
        </w:rPr>
      </w:pPr>
      <w:r>
        <w:rPr>
          <w:rFonts w:hint="default" w:ascii="Calibri Bold" w:hAnsi="Calibri Bold" w:cs="Calibri Bold"/>
          <w:b/>
          <w:bCs/>
        </w:rPr>
        <w:t>Data and Analytics: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Synapse Analytics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Power BI</w:t>
      </w:r>
      <w:r>
        <w:rPr>
          <w:rFonts w:hint="default"/>
          <w:lang w:val="en-US"/>
        </w:rPr>
        <w:t xml:space="preserve"> (optional)</w:t>
      </w:r>
    </w:p>
    <w:p>
      <w:pPr>
        <w:rPr>
          <w:rFonts w:hint="eastAsia"/>
        </w:rPr>
      </w:pPr>
    </w:p>
    <w:p>
      <w:pPr>
        <w:rPr>
          <w:rFonts w:hint="default" w:ascii="Calibri Bold" w:hAnsi="Calibri Bold" w:cs="Calibri Bold"/>
          <w:b/>
          <w:bCs/>
        </w:rPr>
      </w:pPr>
      <w:r>
        <w:rPr>
          <w:rFonts w:hint="default" w:ascii="Calibri Bold" w:hAnsi="Calibri Bold" w:cs="Calibri Bold"/>
          <w:b/>
          <w:bCs/>
        </w:rPr>
        <w:t>Application Modernization: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Kubernetes Service (AKS) (optional, for small-scale microservices deployment)</w:t>
      </w:r>
    </w:p>
    <w:p>
      <w:pPr>
        <w:rPr>
          <w:rFonts w:hint="eastAsia"/>
        </w:rPr>
      </w:pPr>
    </w:p>
    <w:p>
      <w:pPr>
        <w:rPr>
          <w:rFonts w:hint="default" w:ascii="Calibri Bold" w:hAnsi="Calibri Bold" w:cs="Calibri Bold"/>
          <w:b/>
          <w:bCs/>
        </w:rPr>
      </w:pPr>
      <w:r>
        <w:rPr>
          <w:rFonts w:hint="default" w:ascii="Calibri Bold" w:hAnsi="Calibri Bold" w:cs="Calibri Bold"/>
          <w:b/>
          <w:bCs/>
        </w:rPr>
        <w:t>Backup and Disaster Recovery: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Backup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Site Recovery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 w:ascii="Calibri Bold" w:hAnsi="Calibri Bold" w:cs="Calibri Bold"/>
          <w:b/>
          <w:bCs/>
        </w:rPr>
        <w:t>Management and Monitoring: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Monitor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Azure Log Analytics.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69F1D"/>
    <w:multiLevelType w:val="singleLevel"/>
    <w:tmpl w:val="F3769F1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sz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F2647"/>
    <w:rsid w:val="7F0F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3F7AB7B0-CD58-4064-A3B9-4F3B4D25A177}"/>
</file>

<file path=customXml/itemProps2.xml><?xml version="1.0" encoding="utf-8"?>
<ds:datastoreItem xmlns:ds="http://schemas.openxmlformats.org/officeDocument/2006/customXml" ds:itemID="{44F964FB-9730-4492-AB49-A4F7149D3856}"/>
</file>

<file path=customXml/itemProps3.xml><?xml version="1.0" encoding="utf-8"?>
<ds:datastoreItem xmlns:ds="http://schemas.openxmlformats.org/officeDocument/2006/customXml" ds:itemID="{03204C61-8FC3-469B-B19A-F86666BE34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Ruby</cp:lastModifiedBy>
  <cp:revision>1</cp:revision>
  <dcterms:created xsi:type="dcterms:W3CDTF">2024-08-26T01:37:00Z</dcterms:created>
  <dcterms:modified xsi:type="dcterms:W3CDTF">2024-08-26T01:43:04Z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C9B93118690D51D18A33CB66FB3171F2_41</vt:lpwstr>
  </property>
  <property fmtid="{D5CDD505-2E9C-101B-9397-08002B2CF9AE}" pid="4" name="ContentTypeId">
    <vt:lpwstr>0x01010098B01F29F624FF4D9FBF805D314BC7D2</vt:lpwstr>
  </property>
</Properties>
</file>