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5FE" w:rsidRDefault="00985A79">
      <w:pPr>
        <w:spacing w:before="600" w:after="120"/>
        <w:jc w:val="center"/>
      </w:pPr>
      <w:r>
        <w:rPr>
          <w:b/>
          <w:bCs/>
          <w:color w:val="E50914"/>
          <w:sz w:val="72"/>
          <w:szCs w:val="72"/>
        </w:rPr>
        <w:t>FUNKOFLIX</w:t>
      </w:r>
    </w:p>
    <w:p w:rsidR="003A75FE" w:rsidRDefault="00985A79">
      <w:pPr>
        <w:spacing w:after="200"/>
        <w:jc w:val="center"/>
      </w:pPr>
      <w:r>
        <w:rPr>
          <w:color w:val="555555"/>
          <w:sz w:val="26"/>
          <w:szCs w:val="26"/>
        </w:rPr>
        <w:t>Tienda Virtual de Funko Pops — Series de Netflix</w:t>
      </w:r>
    </w:p>
    <w:p w:rsidR="003A75FE" w:rsidRDefault="00985A79">
      <w:pPr>
        <w:spacing w:after="120"/>
        <w:jc w:val="center"/>
      </w:pPr>
      <w:r>
        <w:rPr>
          <w:b/>
          <w:bCs/>
          <w:color w:val="1A1A2E"/>
          <w:sz w:val="36"/>
          <w:szCs w:val="36"/>
        </w:rPr>
        <w:t>Avance de Documentación</w:t>
      </w:r>
    </w:p>
    <w:p w:rsidR="003A75FE" w:rsidRDefault="00985A79">
      <w:pPr>
        <w:spacing w:after="80"/>
        <w:jc w:val="center"/>
      </w:pPr>
      <w:r>
        <w:rPr>
          <w:b/>
          <w:bCs/>
          <w:color w:val="1A1A2E"/>
          <w:sz w:val="28"/>
          <w:szCs w:val="28"/>
        </w:rPr>
        <w:t>Dylan Ugarte</w:t>
      </w:r>
    </w:p>
    <w:p w:rsidR="003A75FE" w:rsidRDefault="00985A79">
      <w:pPr>
        <w:spacing w:before="80" w:after="40"/>
        <w:jc w:val="center"/>
      </w:pPr>
      <w:r>
        <w:rPr>
          <w:color w:val="888888"/>
          <w:sz w:val="20"/>
          <w:szCs w:val="20"/>
        </w:rPr>
        <w:t>Rol: Documentación  |  Materia: P.D</w:t>
      </w:r>
      <w:r w:rsidR="0051622A">
        <w:rPr>
          <w:color w:val="888888"/>
          <w:sz w:val="20"/>
          <w:szCs w:val="20"/>
        </w:rPr>
        <w:t>.I.S.C  |  Docente: Lautaro Aragon</w:t>
      </w:r>
      <w:r>
        <w:rPr>
          <w:color w:val="888888"/>
          <w:sz w:val="20"/>
          <w:szCs w:val="20"/>
        </w:rPr>
        <w:t xml:space="preserve">  |  Año: 2025</w:t>
      </w:r>
    </w:p>
    <w:p w:rsidR="003A75FE" w:rsidRDefault="00985A79">
      <w:pPr>
        <w:spacing w:after="40"/>
        <w:jc w:val="center"/>
      </w:pPr>
      <w:r>
        <w:rPr>
          <w:i/>
          <w:iCs/>
          <w:color w:val="888888"/>
          <w:sz w:val="20"/>
          <w:szCs w:val="20"/>
        </w:rPr>
        <w:t>Fecha de entrega: Mayo 2025</w:t>
      </w:r>
    </w:p>
    <w:p w:rsidR="003A75FE" w:rsidRDefault="003A75FE">
      <w:pPr>
        <w:spacing w:before="360"/>
      </w:pPr>
    </w:p>
    <w:p w:rsidR="003A75FE" w:rsidRDefault="00985A79">
      <w:pPr>
        <w:pStyle w:val="Heading10"/>
        <w:pBdr>
          <w:bottom w:val="single" w:sz="4" w:space="4" w:color="E50914"/>
        </w:pBdr>
      </w:pPr>
      <w:r>
        <w:t>1. Introducción</w:t>
      </w:r>
    </w:p>
    <w:p w:rsidR="003A75FE" w:rsidRDefault="00985A79">
      <w:pPr>
        <w:spacing w:before="80" w:after="80"/>
      </w:pPr>
      <w:r>
        <w:t>El presente documento detalla el avance de las tareas correspondientes al rol de Documentación dentro del proyecto Funkoflix, elaborado por Dylan Ugarte. La tienda virtual está dedicada a la venta de figuras coleccionables Funko Pop! basadas en series orig</w:t>
      </w:r>
      <w:r>
        <w:t>inales de la plataforma Netflix.</w:t>
      </w:r>
    </w:p>
    <w:p w:rsidR="003A75FE" w:rsidRDefault="00985A79">
      <w:pPr>
        <w:spacing w:before="80" w:after="80"/>
      </w:pPr>
      <w:r>
        <w:t>Las responsabilidades de este rol comprenden tres ejes principales: la creación de plantillas documentales reutilizables, el relevamiento inicial de requisitos del sistema y la organización de toda la documentación del proy</w:t>
      </w:r>
      <w:r>
        <w:t>ecto. Cada eje se desarrolla en las secciones siguientes junto a su estado de avance actual.</w:t>
      </w:r>
    </w:p>
    <w:p w:rsidR="003A75FE" w:rsidRDefault="003A75FE">
      <w:pPr>
        <w:spacing w:before="120"/>
      </w:pPr>
    </w:p>
    <w:p w:rsidR="003A75FE" w:rsidRDefault="00985A79">
      <w:pPr>
        <w:pStyle w:val="Heading10"/>
        <w:pBdr>
          <w:bottom w:val="single" w:sz="4" w:space="4" w:color="E50914"/>
        </w:pBdr>
      </w:pPr>
      <w:r>
        <w:t>2. Plantillas Documentales</w:t>
      </w:r>
    </w:p>
    <w:p w:rsidR="003A75FE" w:rsidRDefault="00985A79">
      <w:pPr>
        <w:spacing w:before="80" w:after="80"/>
      </w:pPr>
      <w:r>
        <w:t>Las plantillas documentales son documentos estructurados y pre-formateados listos para completar. Su objetivo es que el equipo pueda re</w:t>
      </w:r>
      <w:r>
        <w:t>gistrar información de manera uniforme y eficiente durante todas las etapas del proyecto, sin necesidad de crear formatos desde cero cada vez.</w:t>
      </w:r>
    </w:p>
    <w:p w:rsidR="003A75FE" w:rsidRDefault="00985A79">
      <w:pPr>
        <w:pStyle w:val="Heading20"/>
      </w:pPr>
      <w:r>
        <w:t>2.1 Plantillas creadas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84"/>
        <w:gridCol w:w="5869"/>
        <w:gridCol w:w="907"/>
      </w:tblGrid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b/>
                <w:bCs/>
                <w:color w:val="FFFFFF"/>
                <w:sz w:val="20"/>
                <w:szCs w:val="20"/>
              </w:rPr>
              <w:t>Plantilla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Plantilla de Requisitos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Registrar y clasificar requisitos funcionales y no funcionales del sistema.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Lista</w:t>
            </w:r>
          </w:p>
        </w:tc>
      </w:tr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Plantilla de Reunión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Documentar acuerdos, asistentes, temas y tareas de cada reunión del equipo.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Lista</w:t>
            </w:r>
          </w:p>
        </w:tc>
      </w:tr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Plantilla de Reporte de Avance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Informar el progreso semanal de cada integrante según su rol asignado.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Lista</w:t>
            </w:r>
          </w:p>
        </w:tc>
      </w:tr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Plantilla de Casos de Uso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 xml:space="preserve">Describir actores, flujos normales y flujos alternativos de cada </w:t>
            </w:r>
            <w:r>
              <w:rPr>
                <w:color w:val="000000"/>
                <w:sz w:val="20"/>
                <w:szCs w:val="20"/>
              </w:rPr>
              <w:lastRenderedPageBreak/>
              <w:t>caso de uso.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lastRenderedPageBreak/>
              <w:t>✅</w:t>
            </w:r>
            <w:r>
              <w:rPr>
                <w:color w:val="000000"/>
                <w:sz w:val="20"/>
                <w:szCs w:val="20"/>
              </w:rPr>
              <w:t xml:space="preserve"> Lista</w:t>
            </w:r>
          </w:p>
        </w:tc>
      </w:tr>
    </w:tbl>
    <w:p w:rsidR="003A75FE" w:rsidRDefault="003A75FE">
      <w:pPr>
        <w:spacing w:before="160"/>
      </w:pPr>
    </w:p>
    <w:p w:rsidR="003A75FE" w:rsidRDefault="00985A79">
      <w:pPr>
        <w:pStyle w:val="Heading20"/>
      </w:pPr>
      <w:r>
        <w:t>2.2 Criterios de diseño aplicados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Todas las plantillas incluyen encabezado con: título, fecha, responsable y número de versión.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Se redactaron en formato editable (.docx) para facilitar su uso por todos los integrantes.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 xml:space="preserve">Se utilizaron tablas estructuradas para separar campos clave y mejorar </w:t>
      </w:r>
      <w:r>
        <w:t>la lectura.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Se normalizaron con la nomenclatura oficial del proyecto (Funkoflix, códigos RF/RNF).</w:t>
      </w:r>
    </w:p>
    <w:p w:rsidR="003A75FE" w:rsidRDefault="003A75FE">
      <w:pPr>
        <w:spacing w:before="200"/>
      </w:pPr>
    </w:p>
    <w:p w:rsidR="003A75FE" w:rsidRDefault="00985A79">
      <w:pPr>
        <w:pStyle w:val="Heading10"/>
        <w:pBdr>
          <w:bottom w:val="single" w:sz="4" w:space="4" w:color="E50914"/>
        </w:pBdr>
      </w:pPr>
      <w:r>
        <w:t>3. Relevamiento Inicial de Requisitos</w:t>
      </w:r>
    </w:p>
    <w:p w:rsidR="003A75FE" w:rsidRDefault="00985A79">
      <w:pPr>
        <w:spacing w:before="80" w:after="80"/>
      </w:pPr>
      <w:r>
        <w:t>El relevamiento consistió en preguntar y anotar todo lo que el sistema Funkoflix NECESITA tener. Esto incluye funcional</w:t>
      </w:r>
      <w:r>
        <w:t>idades visibles para el usuario (requisitos funcionales) y características de calidad del sistema (requisitos no funcionales). Este trabajo se realizó en base a las reuniones del equipo y la norma IEEE 830.</w:t>
      </w:r>
    </w:p>
    <w:p w:rsidR="003A75FE" w:rsidRDefault="00985A79">
      <w:pPr>
        <w:pStyle w:val="Heading20"/>
      </w:pPr>
      <w:r>
        <w:t>3.1 ¿Qué es relevar requisitos?</w:t>
      </w:r>
    </w:p>
    <w:p w:rsidR="003A75FE" w:rsidRDefault="00985A79">
      <w:pPr>
        <w:spacing w:before="80" w:after="80"/>
      </w:pPr>
      <w:r>
        <w:t>Relevar requisito</w:t>
      </w:r>
      <w:r>
        <w:t>s significa identificar y documentar todo lo que el sistema debe poder hacer. Por ejemplo: ¿tiene que tener carrito de compras? ¿filtros por personaje? ¿métodos de pago? Es construir una lista completa y trazable de las capacidades del sistema antes de des</w:t>
      </w:r>
      <w:r>
        <w:t>arrollarlo.</w:t>
      </w:r>
    </w:p>
    <w:p w:rsidR="003A75FE" w:rsidRDefault="00985A79">
      <w:pPr>
        <w:pStyle w:val="Heading20"/>
      </w:pPr>
      <w:r>
        <w:t>3.2 Metodología utilizada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Reuniones de equipo para identificar funcionalidades esperadas por el cliente.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Revisión del contexto del proyecto: tienda de Funko Pops de series de Netflix.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Aplicación de la norma IEEE 830 como marco de documentación.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Clasificación en Requisitos Funcionales (RF) y No Funcionales (RNF).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Asignación de códigos únicos a cada requisito para su trazabilidad.</w:t>
      </w:r>
    </w:p>
    <w:p w:rsidR="003A75FE" w:rsidRDefault="00985A79">
      <w:pPr>
        <w:pStyle w:val="Heading20"/>
      </w:pPr>
      <w:r>
        <w:t>3.3 Resultado del relevamiento</w:t>
      </w:r>
    </w:p>
    <w:p w:rsidR="003A75FE" w:rsidRDefault="00985A79">
      <w:pPr>
        <w:spacing w:before="80" w:after="80"/>
      </w:pPr>
      <w:r>
        <w:t>Se identificaron 10 requisitos funcionales y 5 requisitos no funcionales, todos documentados formalmente en el informe IEEE 830 del proyecto. A continuación se presenta un resumen:</w:t>
      </w:r>
    </w:p>
    <w:p w:rsidR="003A75FE" w:rsidRDefault="003A75FE">
      <w:pPr>
        <w:spacing w:before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990"/>
        <w:gridCol w:w="4961"/>
        <w:gridCol w:w="2409"/>
      </w:tblGrid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b/>
                <w:bCs/>
                <w:color w:val="FFFFFF"/>
                <w:sz w:val="20"/>
                <w:szCs w:val="20"/>
              </w:rPr>
              <w:t>Ejemplos relevados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b/>
                <w:bCs/>
                <w:color w:val="FFFFFF"/>
                <w:sz w:val="20"/>
                <w:szCs w:val="20"/>
              </w:rPr>
              <w:t>Cantidad documentada</w:t>
            </w:r>
          </w:p>
        </w:tc>
      </w:tr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Funcionales (RF)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Registro/login, catálogo, carrito, órdenes de compra, panel admin.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10 requisitos (RF1 a RF10)</w:t>
            </w:r>
          </w:p>
        </w:tc>
      </w:tr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No Funcionales (RNF)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Seguridad, rendimiento, compatibilidad, mantenibilidad, usabilidad.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5 requisitos (RNF1 a RNF5)</w:t>
            </w:r>
          </w:p>
        </w:tc>
      </w:tr>
    </w:tbl>
    <w:p w:rsidR="003A75FE" w:rsidRDefault="003A75FE">
      <w:pPr>
        <w:spacing w:before="120"/>
      </w:pPr>
    </w:p>
    <w:p w:rsidR="003A75FE" w:rsidRDefault="00985A79">
      <w:pPr>
        <w:pStyle w:val="Heading20"/>
      </w:pPr>
      <w:r>
        <w:lastRenderedPageBreak/>
        <w:t>3.4 Funcionalidades fuera del alcance (versión actual)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Integración con pasarelas de pago reales.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Módulo de envíos y logística.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Aplicación móvil nativa.</w:t>
      </w:r>
    </w:p>
    <w:p w:rsidR="003A75FE" w:rsidRDefault="003A75FE">
      <w:pPr>
        <w:spacing w:before="200"/>
      </w:pPr>
    </w:p>
    <w:p w:rsidR="003A75FE" w:rsidRDefault="00985A79">
      <w:pPr>
        <w:pStyle w:val="Heading10"/>
        <w:pBdr>
          <w:bottom w:val="single" w:sz="4" w:space="4" w:color="E50914"/>
        </w:pBdr>
      </w:pPr>
      <w:r>
        <w:t>4. Organización de la Documentación</w:t>
      </w:r>
    </w:p>
    <w:p w:rsidR="003A75FE" w:rsidRDefault="00985A79">
      <w:pPr>
        <w:spacing w:before="80" w:after="80"/>
      </w:pPr>
      <w:r>
        <w:t>Se diseñó y estableció la estructura de almacenamiento y gestión de todos los documentos del proyecto. Esto implica decidir dónde y cómo se va a guardar toda la información, con qué carpetas, quién sube qué, y bajo qué nombre. Es básicamente poner orden an</w:t>
      </w:r>
      <w:r>
        <w:t>tes de empezar a trabajar.</w:t>
      </w:r>
    </w:p>
    <w:p w:rsidR="003A75FE" w:rsidRDefault="00985A79">
      <w:pPr>
        <w:pStyle w:val="Heading20"/>
      </w:pPr>
      <w:r>
        <w:t>4.1 Herramienta y repositorio</w:t>
      </w:r>
    </w:p>
    <w:p w:rsidR="003A75FE" w:rsidRDefault="00985A79">
      <w:pPr>
        <w:spacing w:before="80" w:after="80"/>
      </w:pPr>
      <w:r>
        <w:t>Herramienta principal: Google Drive compartido con acceso para todos los integrantes del equipo. Se optó por Google Drive por su accesibilidad, posibilidad de edición colaborativa y facilidad de orga</w:t>
      </w:r>
      <w:r>
        <w:t>nización mediante carpetas jerárquicas.</w:t>
      </w:r>
    </w:p>
    <w:p w:rsidR="003A75FE" w:rsidRDefault="00985A79">
      <w:pPr>
        <w:pStyle w:val="Heading20"/>
      </w:pPr>
      <w:r>
        <w:t>4.2 Estructura de carpetas definida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33"/>
        <w:gridCol w:w="6727"/>
      </w:tblGrid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b/>
                <w:bCs/>
                <w:color w:val="FFFFFF"/>
                <w:sz w:val="20"/>
                <w:szCs w:val="20"/>
              </w:rPr>
              <w:t>Carpeta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01_Documentacion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IEEE 830, plantillas, actas de reunión, reportes de avance.</w:t>
            </w:r>
          </w:p>
        </w:tc>
      </w:tr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02_Diseño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Mockups, diagramas, wireframes, casos de uso.</w:t>
            </w:r>
          </w:p>
        </w:tc>
      </w:tr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03_Desarrollo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Código fuente, scripts, configuraciones del entorno.</w:t>
            </w:r>
          </w:p>
        </w:tc>
      </w:tr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04_Marketing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Materiales de difusión, branding, publicaciones.</w:t>
            </w:r>
          </w:p>
        </w:tc>
      </w:tr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05_Testing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Casos de prueba, reportes de bugs, resultados.</w:t>
            </w:r>
          </w:p>
        </w:tc>
      </w:tr>
      <w:tr w:rsidR="003A75F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06_Entregas_Finales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75FE" w:rsidRDefault="00985A79">
            <w:r>
              <w:rPr>
                <w:color w:val="000000"/>
                <w:sz w:val="20"/>
                <w:szCs w:val="20"/>
              </w:rPr>
              <w:t>Versiones definitivas aprobadas para presentación.</w:t>
            </w:r>
          </w:p>
        </w:tc>
      </w:tr>
    </w:tbl>
    <w:p w:rsidR="003A75FE" w:rsidRDefault="003A75FE">
      <w:pPr>
        <w:spacing w:before="160"/>
      </w:pPr>
    </w:p>
    <w:p w:rsidR="003A75FE" w:rsidRDefault="00985A79">
      <w:pPr>
        <w:pStyle w:val="Heading20"/>
      </w:pPr>
      <w:r>
        <w:t>4.3 Convenciones de nomenclatura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Formato: [Tipo]_[Descripcion]_v[Número].docx  —  Ej.: Plantilla_Reunion_v1.docx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Versiones: v1, v2, v3... Al actualizar un documento se sube una nueva versión con el número incrementado.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Fechas: AAAA-MM-DD en el nombre cuand</w:t>
      </w:r>
      <w:r>
        <w:t>o corresponde a una entrega específica.</w:t>
      </w:r>
    </w:p>
    <w:p w:rsidR="003A75FE" w:rsidRDefault="00985A79">
      <w:pPr>
        <w:pStyle w:val="Heading20"/>
      </w:pPr>
      <w:r>
        <w:t>4.4 Responsabilidades de carga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Documentación (Dylan Ugarte): plantillas, actas de reunión, reportes e informe IEEE 830.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Diseño: mockups, diagramas UML y wireframes.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Desarrollo: código fuente y documentación técnica.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Todos los integrantes: reportes de avance individuales semanales.</w:t>
      </w:r>
    </w:p>
    <w:p w:rsidR="003A75FE" w:rsidRDefault="003A75FE">
      <w:pPr>
        <w:spacing w:before="200"/>
      </w:pPr>
    </w:p>
    <w:p w:rsidR="003A75FE" w:rsidRDefault="00985A79">
      <w:pPr>
        <w:pStyle w:val="Heading10"/>
        <w:pBdr>
          <w:bottom w:val="single" w:sz="4" w:space="4" w:color="E50914"/>
        </w:pBdr>
      </w:pPr>
      <w:r>
        <w:t>5. Conclusión y Próximos Pasos</w:t>
      </w:r>
    </w:p>
    <w:p w:rsidR="003A75FE" w:rsidRDefault="00985A79">
      <w:pPr>
        <w:spacing w:before="80" w:after="80"/>
      </w:pPr>
      <w:r>
        <w:t>El rol de Documentación avancó de manera satisfactoria en las tres áreas asignadas. Las plantillas están disponibles para uso inmediato por el equipo, el rele</w:t>
      </w:r>
      <w:r>
        <w:t>vamiento de requisitos quedó formalmente documentado bajo la norma IEEE 830, y la estructura de organización está operativa en Google Drive.</w:t>
      </w:r>
    </w:p>
    <w:p w:rsidR="003A75FE" w:rsidRDefault="00985A79">
      <w:pPr>
        <w:pStyle w:val="Heading20"/>
      </w:pPr>
      <w:r>
        <w:t>Próximos pasos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Completar el relevamiento de requisitos con el feedback del resto del equipo.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Actualizar el document</w:t>
      </w:r>
      <w:r>
        <w:t>o IEEE 830 con las correcciones surgidas de la revisión grupal.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Crear plantilla de casos de prueba en coordinación con el rol de Testing.</w:t>
      </w:r>
    </w:p>
    <w:p w:rsidR="003A75FE" w:rsidRDefault="00985A79">
      <w:pPr>
        <w:pStyle w:val="Prrafodelista"/>
        <w:numPr>
          <w:ilvl w:val="0"/>
          <w:numId w:val="2"/>
        </w:numPr>
        <w:spacing w:before="60" w:after="60"/>
      </w:pPr>
      <w:r>
        <w:t>Mantener el registro de actas de reunión actualizadas semana a semana.</w:t>
      </w:r>
    </w:p>
    <w:p w:rsidR="003A75FE" w:rsidRDefault="003A75FE">
      <w:pPr>
        <w:spacing w:before="360"/>
      </w:pPr>
    </w:p>
    <w:p w:rsidR="003A75FE" w:rsidRDefault="00985A79">
      <w:pPr>
        <w:pBdr>
          <w:top w:val="single" w:sz="2" w:space="8" w:color="E50914"/>
        </w:pBdr>
        <w:spacing w:before="80"/>
        <w:jc w:val="center"/>
      </w:pPr>
      <w:r>
        <w:rPr>
          <w:i/>
          <w:iCs/>
          <w:color w:val="888888"/>
          <w:sz w:val="18"/>
          <w:szCs w:val="18"/>
        </w:rPr>
        <w:t>FUNKOFLIX  —  Dylan Ugarte  |  Rol: Documentac</w:t>
      </w:r>
      <w:r>
        <w:rPr>
          <w:i/>
          <w:iCs/>
          <w:color w:val="888888"/>
          <w:sz w:val="18"/>
          <w:szCs w:val="18"/>
        </w:rPr>
        <w:t>ión  |  P.D.I.S.C  |  2025</w:t>
      </w:r>
    </w:p>
    <w:sectPr w:rsidR="003A75FE" w:rsidSect="003A75F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5A79" w:rsidRDefault="00985A79" w:rsidP="003A75FE">
      <w:r>
        <w:separator/>
      </w:r>
    </w:p>
  </w:endnote>
  <w:endnote w:type="continuationSeparator" w:id="1">
    <w:p w:rsidR="00985A79" w:rsidRDefault="00985A79" w:rsidP="003A75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75FE" w:rsidRDefault="00985A79">
    <w:pPr>
      <w:jc w:val="center"/>
    </w:pPr>
    <w:r>
      <w:rPr>
        <w:color w:val="888888"/>
        <w:sz w:val="18"/>
        <w:szCs w:val="18"/>
      </w:rPr>
      <w:t xml:space="preserve">FUNKOFLIX  —  Avance de Documentación  |  Dylan Ugarte  |  </w:t>
    </w:r>
    <w:r w:rsidR="003A75FE"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51622A">
      <w:rPr>
        <w:color w:val="888888"/>
        <w:sz w:val="18"/>
        <w:szCs w:val="18"/>
      </w:rPr>
      <w:fldChar w:fldCharType="separate"/>
    </w:r>
    <w:r w:rsidR="0051622A">
      <w:rPr>
        <w:noProof/>
        <w:color w:val="888888"/>
        <w:sz w:val="18"/>
        <w:szCs w:val="18"/>
      </w:rPr>
      <w:t>4</w:t>
    </w:r>
    <w:r w:rsidR="003A75FE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5A79" w:rsidRDefault="00985A79" w:rsidP="003A75FE">
      <w:r>
        <w:separator/>
      </w:r>
    </w:p>
  </w:footnote>
  <w:footnote w:type="continuationSeparator" w:id="1">
    <w:p w:rsidR="00985A79" w:rsidRDefault="00985A79" w:rsidP="003A75F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56811"/>
    <w:multiLevelType w:val="hybridMultilevel"/>
    <w:tmpl w:val="1F069AD2"/>
    <w:lvl w:ilvl="0" w:tplc="1714D412">
      <w:start w:val="1"/>
      <w:numFmt w:val="bullet"/>
      <w:lvlText w:val="•"/>
      <w:lvlJc w:val="left"/>
      <w:pPr>
        <w:ind w:left="720" w:hanging="360"/>
      </w:pPr>
    </w:lvl>
    <w:lvl w:ilvl="1" w:tplc="4466660A">
      <w:numFmt w:val="decimal"/>
      <w:lvlText w:val=""/>
      <w:lvlJc w:val="left"/>
    </w:lvl>
    <w:lvl w:ilvl="2" w:tplc="E92608B2">
      <w:numFmt w:val="decimal"/>
      <w:lvlText w:val=""/>
      <w:lvlJc w:val="left"/>
    </w:lvl>
    <w:lvl w:ilvl="3" w:tplc="10B2E42E">
      <w:numFmt w:val="decimal"/>
      <w:lvlText w:val=""/>
      <w:lvlJc w:val="left"/>
    </w:lvl>
    <w:lvl w:ilvl="4" w:tplc="6ADE4B84">
      <w:numFmt w:val="decimal"/>
      <w:lvlText w:val=""/>
      <w:lvlJc w:val="left"/>
    </w:lvl>
    <w:lvl w:ilvl="5" w:tplc="8AA8DBFE">
      <w:numFmt w:val="decimal"/>
      <w:lvlText w:val=""/>
      <w:lvlJc w:val="left"/>
    </w:lvl>
    <w:lvl w:ilvl="6" w:tplc="59822E90">
      <w:numFmt w:val="decimal"/>
      <w:lvlText w:val=""/>
      <w:lvlJc w:val="left"/>
    </w:lvl>
    <w:lvl w:ilvl="7" w:tplc="D2D82248">
      <w:numFmt w:val="decimal"/>
      <w:lvlText w:val=""/>
      <w:lvlJc w:val="left"/>
    </w:lvl>
    <w:lvl w:ilvl="8" w:tplc="92E01596">
      <w:numFmt w:val="decimal"/>
      <w:lvlText w:val=""/>
      <w:lvlJc w:val="left"/>
    </w:lvl>
  </w:abstractNum>
  <w:abstractNum w:abstractNumId="1">
    <w:nsid w:val="76073884"/>
    <w:multiLevelType w:val="hybridMultilevel"/>
    <w:tmpl w:val="226A7EE6"/>
    <w:lvl w:ilvl="0" w:tplc="AF641454">
      <w:start w:val="1"/>
      <w:numFmt w:val="bullet"/>
      <w:lvlText w:val="●"/>
      <w:lvlJc w:val="left"/>
      <w:pPr>
        <w:ind w:left="720" w:hanging="360"/>
      </w:pPr>
    </w:lvl>
    <w:lvl w:ilvl="1" w:tplc="2402D806">
      <w:start w:val="1"/>
      <w:numFmt w:val="bullet"/>
      <w:lvlText w:val="○"/>
      <w:lvlJc w:val="left"/>
      <w:pPr>
        <w:ind w:left="1440" w:hanging="360"/>
      </w:pPr>
    </w:lvl>
    <w:lvl w:ilvl="2" w:tplc="FBE87DD4">
      <w:start w:val="1"/>
      <w:numFmt w:val="bullet"/>
      <w:lvlText w:val="■"/>
      <w:lvlJc w:val="left"/>
      <w:pPr>
        <w:ind w:left="2160" w:hanging="360"/>
      </w:pPr>
    </w:lvl>
    <w:lvl w:ilvl="3" w:tplc="AFC6F1E6">
      <w:start w:val="1"/>
      <w:numFmt w:val="bullet"/>
      <w:lvlText w:val="●"/>
      <w:lvlJc w:val="left"/>
      <w:pPr>
        <w:ind w:left="2880" w:hanging="360"/>
      </w:pPr>
    </w:lvl>
    <w:lvl w:ilvl="4" w:tplc="C212B7AC">
      <w:start w:val="1"/>
      <w:numFmt w:val="bullet"/>
      <w:lvlText w:val="○"/>
      <w:lvlJc w:val="left"/>
      <w:pPr>
        <w:ind w:left="3600" w:hanging="360"/>
      </w:pPr>
    </w:lvl>
    <w:lvl w:ilvl="5" w:tplc="D946F666">
      <w:start w:val="1"/>
      <w:numFmt w:val="bullet"/>
      <w:lvlText w:val="■"/>
      <w:lvlJc w:val="left"/>
      <w:pPr>
        <w:ind w:left="4320" w:hanging="360"/>
      </w:pPr>
    </w:lvl>
    <w:lvl w:ilvl="6" w:tplc="5D560D1E">
      <w:start w:val="1"/>
      <w:numFmt w:val="bullet"/>
      <w:lvlText w:val="●"/>
      <w:lvlJc w:val="left"/>
      <w:pPr>
        <w:ind w:left="5040" w:hanging="360"/>
      </w:pPr>
    </w:lvl>
    <w:lvl w:ilvl="7" w:tplc="80DAA39A">
      <w:start w:val="1"/>
      <w:numFmt w:val="bullet"/>
      <w:lvlText w:val="●"/>
      <w:lvlJc w:val="left"/>
      <w:pPr>
        <w:ind w:left="5760" w:hanging="360"/>
      </w:pPr>
    </w:lvl>
    <w:lvl w:ilvl="8" w:tplc="EDF0D7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A75FE"/>
    <w:rsid w:val="003A75FE"/>
    <w:rsid w:val="0051622A"/>
    <w:rsid w:val="00985A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sid w:val="003A75FE"/>
    <w:rPr>
      <w:sz w:val="56"/>
      <w:szCs w:val="56"/>
    </w:rPr>
  </w:style>
  <w:style w:type="paragraph" w:customStyle="1" w:styleId="Heading1">
    <w:name w:val="Heading 1"/>
    <w:qFormat/>
    <w:rsid w:val="003A75FE"/>
    <w:rPr>
      <w:color w:val="2E74B5"/>
      <w:sz w:val="32"/>
      <w:szCs w:val="32"/>
    </w:rPr>
  </w:style>
  <w:style w:type="paragraph" w:customStyle="1" w:styleId="Heading2">
    <w:name w:val="Heading 2"/>
    <w:qFormat/>
    <w:rsid w:val="003A75FE"/>
    <w:rPr>
      <w:color w:val="2E74B5"/>
      <w:sz w:val="26"/>
      <w:szCs w:val="26"/>
    </w:rPr>
  </w:style>
  <w:style w:type="paragraph" w:customStyle="1" w:styleId="Heading3">
    <w:name w:val="Heading 3"/>
    <w:qFormat/>
    <w:rsid w:val="003A75FE"/>
    <w:rPr>
      <w:color w:val="1F4D78"/>
      <w:sz w:val="24"/>
      <w:szCs w:val="24"/>
    </w:rPr>
  </w:style>
  <w:style w:type="paragraph" w:customStyle="1" w:styleId="Heading4">
    <w:name w:val="Heading 4"/>
    <w:qFormat/>
    <w:rsid w:val="003A75FE"/>
    <w:rPr>
      <w:i/>
      <w:iCs/>
      <w:color w:val="2E74B5"/>
    </w:rPr>
  </w:style>
  <w:style w:type="paragraph" w:customStyle="1" w:styleId="Heading5">
    <w:name w:val="Heading 5"/>
    <w:qFormat/>
    <w:rsid w:val="003A75FE"/>
    <w:rPr>
      <w:color w:val="2E74B5"/>
    </w:rPr>
  </w:style>
  <w:style w:type="paragraph" w:customStyle="1" w:styleId="Heading6">
    <w:name w:val="Heading 6"/>
    <w:qFormat/>
    <w:rsid w:val="003A75FE"/>
    <w:rPr>
      <w:color w:val="1F4D78"/>
    </w:rPr>
  </w:style>
  <w:style w:type="paragraph" w:customStyle="1" w:styleId="Textoennegrita1">
    <w:name w:val="Texto en negrita1"/>
    <w:qFormat/>
    <w:rsid w:val="003A75FE"/>
    <w:rPr>
      <w:b/>
      <w:bCs/>
    </w:rPr>
  </w:style>
  <w:style w:type="paragraph" w:styleId="Prrafodelista">
    <w:name w:val="List Paragraph"/>
    <w:qFormat/>
    <w:rsid w:val="003A75FE"/>
  </w:style>
  <w:style w:type="character" w:styleId="Hipervnculo">
    <w:name w:val="Hyperlink"/>
    <w:uiPriority w:val="99"/>
    <w:unhideWhenUsed/>
    <w:rsid w:val="003A75FE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3A75FE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3A75FE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sid w:val="003A75FE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003A75FE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3A75FE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sid w:val="003A75FE"/>
    <w:rPr>
      <w:sz w:val="20"/>
      <w:szCs w:val="20"/>
    </w:rPr>
  </w:style>
  <w:style w:type="paragraph" w:customStyle="1" w:styleId="Heading10">
    <w:name w:val="Heading 1"/>
    <w:qFormat/>
    <w:rsid w:val="003A75FE"/>
    <w:pPr>
      <w:spacing w:before="360" w:after="180"/>
      <w:outlineLvl w:val="0"/>
    </w:pPr>
    <w:rPr>
      <w:b/>
      <w:bCs/>
      <w:color w:val="E50914"/>
      <w:sz w:val="30"/>
      <w:szCs w:val="30"/>
    </w:rPr>
  </w:style>
  <w:style w:type="paragraph" w:customStyle="1" w:styleId="Heading20">
    <w:name w:val="Heading 2"/>
    <w:qFormat/>
    <w:rsid w:val="003A75FE"/>
    <w:pPr>
      <w:spacing w:before="240" w:after="120"/>
      <w:outlineLvl w:val="1"/>
    </w:pPr>
    <w:rPr>
      <w:b/>
      <w:bCs/>
      <w:color w:val="1A1A2E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933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matias andres ugarte</cp:lastModifiedBy>
  <cp:revision>3</cp:revision>
  <dcterms:created xsi:type="dcterms:W3CDTF">2026-05-21T02:52:00Z</dcterms:created>
  <dcterms:modified xsi:type="dcterms:W3CDTF">2026-05-21T02:57:00Z</dcterms:modified>
</cp:coreProperties>
</file>