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Технологическая (проектно-технологическая) практика *Project internship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Б2.О.02.01(П)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252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