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Прямое проектирование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