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Breach Notification Letter Set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Template letters for notifying individuals, HHS and media of a PHI breach.</w:t>
      </w:r>
    </w:p>
    <w:p>
      <w:pPr>
        <w:pStyle w:val="Heading1"/>
      </w:pPr>
      <w:r>
        <w:t>2. Scope</w:t>
      </w:r>
    </w:p>
    <w:p>
      <w:r>
        <w:t>Breaches of unsecured PHI.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</w:t>
            </w:r>
          </w:p>
        </w:tc>
        <w:tc>
          <w:tcPr>
            <w:tcW w:type="dxa" w:w="4873"/>
          </w:tcPr>
          <w:p>
            <w:r>
              <w:t>Issues notices.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Reviews.</w:t>
            </w:r>
          </w:p>
        </w:tc>
      </w:tr>
    </w:tbl>
    <w:p/>
    <w:p>
      <w:pPr>
        <w:pStyle w:val="Heading1"/>
      </w:pPr>
      <w:r>
        <w:t>4. Individual notice content (164.404)</w:t>
      </w:r>
    </w:p>
    <w:p>
      <w:pPr>
        <w:pStyle w:val="ListBullet"/>
      </w:pPr>
      <w:r>
        <w:t>Description of what happened, including date of breach and discovery.</w:t>
      </w:r>
    </w:p>
    <w:p>
      <w:pPr>
        <w:pStyle w:val="ListBullet"/>
      </w:pPr>
      <w:r>
        <w:t>Types of PHI involved.</w:t>
      </w:r>
    </w:p>
    <w:p>
      <w:pPr>
        <w:pStyle w:val="ListBullet"/>
      </w:pPr>
      <w:r>
        <w:t>Steps individuals should take to protect themselves.</w:t>
      </w:r>
    </w:p>
    <w:p>
      <w:pPr>
        <w:pStyle w:val="ListBullet"/>
      </w:pPr>
      <w:r>
        <w:t>What the organisation is doing to investigate, mitigate and prevent recurrence.</w:t>
      </w:r>
    </w:p>
    <w:p>
      <w:pPr>
        <w:pStyle w:val="ListBullet"/>
      </w:pPr>
      <w:r>
        <w:t>Contact procedures: toll-free number, email, website or postal address.</w:t>
      </w:r>
    </w:p>
    <w:p>
      <w:pPr>
        <w:pStyle w:val="Heading1"/>
      </w:pPr>
      <w:r>
        <w:t>5. Delivery</w:t>
      </w:r>
    </w:p>
    <w:p>
      <w:pPr>
        <w:pStyle w:val="ListBullet"/>
      </w:pPr>
      <w:r>
        <w:t>First-class mail or email if the individual agreed.</w:t>
      </w:r>
    </w:p>
    <w:p>
      <w:pPr>
        <w:pStyle w:val="ListBullet"/>
      </w:pPr>
      <w:r>
        <w:t>Substitute notice if contact information is insufficient.</w:t>
      </w:r>
    </w:p>
    <w:p>
      <w:pPr>
        <w:pStyle w:val="ListBullet"/>
      </w:pPr>
      <w:r>
        <w:t>HHS via the OCR breach portal.</w:t>
      </w:r>
    </w:p>
    <w:p>
      <w:pPr>
        <w:pStyle w:val="ListBullet"/>
      </w:pPr>
      <w:r>
        <w:t>Media notice for over 500 residents of a state or jurisdiction.</w:t>
      </w:r>
    </w:p>
    <w:p>
      <w:pPr>
        <w:pStyle w:val="Heading1"/>
      </w:pPr>
      <w:r>
        <w:t>6. Frequency and timing</w:t>
      </w:r>
    </w:p>
    <w:p>
      <w:r>
        <w:t>Each breach.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Copies of notices sent and dates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164.404, 164.406, 164.408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Breach Notification Letter Set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