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Criminal Offence Data Authorisation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Documents the legal authority for processing criminal offence data.</w:t>
      </w:r>
    </w:p>
    <w:p>
      <w:pPr>
        <w:pStyle w:val="Heading1"/>
      </w:pPr>
      <w:r>
        <w:t>2. Scope</w:t>
      </w:r>
    </w:p>
    <w:p>
      <w:r>
        <w:t>Processing of criminal convictions and offences data (e.g. background checks).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Owns the record and advises.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legal positions.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Describe processing and purpose.</w:t>
      </w:r>
    </w:p>
    <w:p>
      <w:pPr>
        <w:ind w:left="340" w:hanging="340"/>
      </w:pPr>
      <w:r>
        <w:t>2. Identify the Art. 6 basis and the Union/Member State law authorising processing under Art. 10.</w:t>
      </w:r>
    </w:p>
    <w:p>
      <w:pPr>
        <w:ind w:left="340" w:hanging="340"/>
      </w:pPr>
      <w:r>
        <w:t>3. Define safeguards and retention.</w:t>
      </w:r>
    </w:p>
    <w:p>
      <w:pPr>
        <w:ind w:left="340" w:hanging="340"/>
      </w:pPr>
      <w:r>
        <w:t>4. Record approval.</w:t>
      </w:r>
    </w:p>
    <w:p>
      <w:pPr>
        <w:pStyle w:val="Heading1"/>
      </w:pPr>
      <w:r>
        <w:t>5. Frequency and timing</w:t>
      </w:r>
    </w:p>
    <w:p>
      <w:r>
        <w:t>Each activity; reviewed annually.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Legal authority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Safeguards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Completed authorisation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10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Criminal Offence Data Authorisation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