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pPr>
      <w:bookmarkStart w:colFirst="0" w:colLast="0" w:name="_20smwxvpl52k" w:id="0"/>
      <w:bookmarkEnd w:id="0"/>
      <w:r w:rsidDel="00000000" w:rsidR="00000000" w:rsidRPr="00000000">
        <w:rPr>
          <w:b w:val="1"/>
          <w:bCs w:val="1"/>
          <w:sz w:val="34"/>
          <w:szCs w:val="34"/>
          <w:rtl w:val="0"/>
        </w:rPr>
        <w:t xml:space="preserve">Cryptography Policy</w: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a0yi6g5yd2xk" w:id="1"/>
      <w:bookmarkEnd w:id="1"/>
      <w:r w:rsidDel="00000000" w:rsidR="00000000" w:rsidRPr="00000000">
        <w:rPr>
          <w:b w:val="1"/>
          <w:bCs w:val="1"/>
          <w:sz w:val="34"/>
          <w:szCs w:val="34"/>
          <w:rtl w:val="0"/>
        </w:rPr>
        <w:t xml:space="preserve">Purpose</w:t>
      </w:r>
    </w:p>
    <w:p w:rsidR="00000000" w:rsidDel="00000000" w:rsidP="00000000" w:rsidRDefault="00000000" w:rsidRPr="00000000" w14:paraId="00000003">
      <w:pPr>
        <w:numPr>
          <w:ilvl w:val="0"/>
          <w:numId w:val="1"/>
        </w:numPr>
        <w:spacing w:after="0" w:afterAutospacing="0" w:before="240" w:lineRule="auto"/>
        <w:ind w:left="720" w:hanging="360"/>
        <w:rPr>
          <w:u w:val="none"/>
        </w:rPr>
      </w:pPr>
      <w:r w:rsidDel="00000000" w:rsidR="00000000" w:rsidRPr="00000000">
        <w:rPr>
          <w:rtl w:val="0"/>
        </w:rPr>
        <w:t xml:space="preserve">To ensure proper and effective use of cryptography to protect the confidentiality, authenticity, and/or integrity of information. </w:t>
      </w:r>
    </w:p>
    <w:p w:rsidR="00000000" w:rsidDel="00000000" w:rsidP="00000000" w:rsidRDefault="00000000" w:rsidRPr="00000000" w14:paraId="00000004">
      <w:pPr>
        <w:numPr>
          <w:ilvl w:val="0"/>
          <w:numId w:val="1"/>
        </w:numPr>
        <w:spacing w:after="240" w:before="0" w:beforeAutospacing="0" w:lineRule="auto"/>
        <w:ind w:left="720" w:hanging="360"/>
        <w:rPr>
          <w:u w:val="none"/>
        </w:rPr>
      </w:pPr>
      <w:r w:rsidDel="00000000" w:rsidR="00000000" w:rsidRPr="00000000">
        <w:rPr>
          <w:rtl w:val="0"/>
        </w:rPr>
        <w:t xml:space="preserve">Establish requirements for the use and protection of cryptographic keys and cryptographic methods throughout the entire encryption lifecycle.</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kaerbu8vumw6" w:id="2"/>
      <w:bookmarkEnd w:id="2"/>
      <w:r w:rsidDel="00000000" w:rsidR="00000000" w:rsidRPr="00000000">
        <w:rPr>
          <w:b w:val="1"/>
          <w:bCs w:val="1"/>
          <w:sz w:val="34"/>
          <w:szCs w:val="34"/>
          <w:rtl w:val="0"/>
        </w:rPr>
        <w:t xml:space="preserve">Scope</w:t>
      </w:r>
    </w:p>
    <w:p w:rsidR="00000000" w:rsidDel="00000000" w:rsidP="00000000" w:rsidRDefault="00000000" w:rsidRPr="00000000" w14:paraId="00000006">
      <w:pPr>
        <w:spacing w:after="240" w:before="240" w:lineRule="auto"/>
        <w:rPr/>
      </w:pPr>
      <w:r w:rsidDel="00000000" w:rsidR="00000000" w:rsidRPr="00000000">
        <w:rPr>
          <w:rtl w:val="0"/>
        </w:rPr>
        <w:t xml:space="preserve">All information systems developed and/or controlled by the company which store or transmit confidential data.</w:t>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321lgu24h29z" w:id="3"/>
      <w:bookmarkEnd w:id="3"/>
      <w:r w:rsidDel="00000000" w:rsidR="00000000" w:rsidRPr="00000000">
        <w:rPr>
          <w:b w:val="1"/>
          <w:bCs w:val="1"/>
          <w:sz w:val="34"/>
          <w:szCs w:val="34"/>
          <w:rtl w:val="0"/>
        </w:rPr>
        <w:t xml:space="preserve">Policy</w:t>
      </w:r>
    </w:p>
    <w:p w:rsidR="00000000" w:rsidDel="00000000" w:rsidP="00000000" w:rsidRDefault="00000000" w:rsidRPr="00000000" w14:paraId="00000008">
      <w:pPr>
        <w:spacing w:after="240" w:before="240" w:lineRule="auto"/>
        <w:rPr/>
      </w:pPr>
      <w:r w:rsidDel="00000000" w:rsidR="00000000" w:rsidRPr="00000000">
        <w:rPr>
          <w:rtl w:val="0"/>
        </w:rPr>
        <w:t xml:space="preserve">The company</w:t>
      </w:r>
      <w:r w:rsidDel="00000000" w:rsidR="00000000" w:rsidRPr="00000000">
        <w:rPr>
          <w:rtl w:val="0"/>
        </w:rPr>
        <w:t xml:space="preserve"> shall evaluate the risks inherent in processing and storing confidential data and shall implement cryptographic controls to mitigate those risks where deemed appropriate. Where encryption is in use, strong cryptography with associated key management processes and procedures shall be implemented and documented.</w:t>
      </w:r>
    </w:p>
    <w:p w:rsidR="00000000" w:rsidDel="00000000" w:rsidP="00000000" w:rsidRDefault="00000000" w:rsidRPr="00000000" w14:paraId="00000009">
      <w:pPr>
        <w:spacing w:after="240" w:before="240" w:lineRule="auto"/>
        <w:rPr/>
      </w:pPr>
      <w:r w:rsidDel="00000000" w:rsidR="00000000" w:rsidRPr="00000000">
        <w:rPr>
          <w:rtl w:val="0"/>
        </w:rPr>
        <w:t xml:space="preserve">When feasible, encryption shall be performed in accordance with industry standards, including NIST SP 800-57.</w:t>
      </w:r>
    </w:p>
    <w:p w:rsidR="00000000" w:rsidDel="00000000" w:rsidP="00000000" w:rsidRDefault="00000000" w:rsidRPr="00000000" w14:paraId="0000000A">
      <w:pPr>
        <w:spacing w:after="240" w:before="240" w:lineRule="auto"/>
        <w:rPr>
          <w:color w:val="1155cc"/>
          <w:u w:val="single"/>
        </w:rPr>
      </w:pPr>
      <w:r w:rsidDel="00000000" w:rsidR="00000000" w:rsidRPr="00000000">
        <w:rPr>
          <w:rtl w:val="0"/>
        </w:rPr>
        <w:t xml:space="preserve">Customer or confidential company data must utilize strong ciphers and configurations in accordance with vendor recommendations and industry best practices including</w:t>
      </w:r>
      <w:hyperlink r:id="rId6">
        <w:r w:rsidDel="00000000" w:rsidR="00000000" w:rsidRPr="00000000">
          <w:rPr>
            <w:rtl w:val="0"/>
          </w:rPr>
          <w:t xml:space="preserve"> </w:t>
        </w:r>
      </w:hyperlink>
      <w:hyperlink r:id="rId7">
        <w:r w:rsidDel="00000000" w:rsidR="00000000" w:rsidRPr="00000000">
          <w:rPr>
            <w:color w:val="1155cc"/>
            <w:u w:val="single"/>
            <w:rtl w:val="0"/>
          </w:rPr>
          <w:t xml:space="preserve">NIST when stored or transferred over a public network. </w:t>
        </w:r>
      </w:hyperlink>
      <w:r w:rsidDel="00000000" w:rsidR="00000000" w:rsidRPr="00000000">
        <w:rPr>
          <w:rtl w:val="0"/>
        </w:rPr>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1xta9qw4sry2" w:id="4"/>
      <w:bookmarkEnd w:id="4"/>
      <w:r w:rsidDel="00000000" w:rsidR="00000000" w:rsidRPr="00000000">
        <w:rPr>
          <w:b w:val="1"/>
          <w:bCs w:val="1"/>
          <w:sz w:val="34"/>
          <w:szCs w:val="34"/>
          <w:rtl w:val="0"/>
        </w:rPr>
        <w:t xml:space="preserve">Key Management</w:t>
      </w:r>
    </w:p>
    <w:p w:rsidR="00000000" w:rsidDel="00000000" w:rsidP="00000000" w:rsidRDefault="00000000" w:rsidRPr="00000000" w14:paraId="0000000C">
      <w:pPr>
        <w:spacing w:after="240" w:before="240" w:lineRule="auto"/>
        <w:rPr/>
      </w:pPr>
      <w:r w:rsidDel="00000000" w:rsidR="00000000" w:rsidRPr="00000000">
        <w:rPr>
          <w:rtl w:val="0"/>
        </w:rPr>
        <w:t xml:space="preserve">Access to keys and secrets shall be controlled in accordance with the Access Control Policy.</w:t>
      </w:r>
    </w:p>
    <w:p w:rsidR="00000000" w:rsidDel="00000000" w:rsidP="00000000" w:rsidRDefault="00000000" w:rsidRPr="00000000" w14:paraId="0000000D">
      <w:pPr>
        <w:spacing w:after="240" w:before="240" w:lineRule="auto"/>
        <w:rPr/>
      </w:pPr>
      <w:r w:rsidDel="00000000" w:rsidR="00000000" w:rsidRPr="00000000">
        <w:rPr>
          <w:rtl w:val="0"/>
        </w:rPr>
        <w:t xml:space="preserve">The following table includes the recommended usage for cryptographic keys to be used when appropriate and feasible:</w:t>
      </w:r>
    </w:p>
    <w:tbl>
      <w:tblPr>
        <w:tblStyle w:val="Table1"/>
        <w:tblW w:w="87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1715"/>
        <w:gridCol w:w="1790"/>
        <w:gridCol w:w="2195"/>
        <w:gridCol w:w="1400"/>
        <w:tblGridChange w:id="0">
          <w:tblGrid>
            <w:gridCol w:w="1640"/>
            <w:gridCol w:w="1715"/>
            <w:gridCol w:w="1790"/>
            <w:gridCol w:w="2195"/>
            <w:gridCol w:w="1400"/>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b w:val="1"/>
                <w:bCs w:val="1"/>
                <w:rtl w:val="0"/>
              </w:rPr>
              <w:t xml:space="preserve">Key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b w:val="1"/>
                <w:bCs w:val="1"/>
                <w:rtl w:val="0"/>
              </w:rPr>
              <w:t xml:space="preserve">Algorithm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b w:val="1"/>
                <w:bCs w:val="1"/>
                <w:rtl w:val="0"/>
              </w:rPr>
              <w:t xml:space="preserve">Key Length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b w:val="1"/>
                <w:bCs w:val="1"/>
                <w:rtl w:val="0"/>
              </w:rPr>
              <w:t xml:space="preserve">Max Expiration</w:t>
            </w:r>
            <w:r w:rsidDel="00000000" w:rsidR="00000000" w:rsidRPr="00000000">
              <w:rPr>
                <w:rtl w:val="0"/>
              </w:rPr>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Web Certificate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tl w:val="0"/>
              </w:rPr>
              <w:t xml:space="preserve">RSA or ECC with SHA2+ signature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RSA or ECC with SHA2+ signature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2048 bit or greater/RSA, 256bit or greater/ECC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Up to 1 year</w:t>
            </w:r>
          </w:p>
        </w:tc>
      </w:tr>
      <w:tr>
        <w:trPr>
          <w:cantSplit w:val="0"/>
          <w:trHeight w:val="13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Web Cipher (TLS)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Asymmetric Encryption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Ciphers of B or greater grade on SSL Labs Rating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Varies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N/A</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Confidential Data at Rest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Symmetric Encryption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AES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256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1 Year</w:t>
            </w:r>
          </w:p>
        </w:tc>
      </w:tr>
      <w:tr>
        <w:trPr>
          <w:cantSplit w:val="0"/>
          <w:trHeight w:val="1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Passwords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One-way 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Bcrypt, PBKDF2, or scrypt, Argon2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256 bit+10K Stretch. Include unique cryptographic salt+pepper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N/A</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Endpoint Storage (SSD/HDD)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Symmetric Encryption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AES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128 or 256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N/A</w:t>
            </w:r>
          </w:p>
        </w:tc>
      </w:tr>
    </w:tbl>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c80kns4h767q" w:id="5"/>
      <w:bookmarkEnd w:id="5"/>
      <w:r w:rsidDel="00000000" w:rsidR="00000000" w:rsidRPr="00000000">
        <w:rPr>
          <w:b w:val="1"/>
          <w:bCs w:val="1"/>
          <w:sz w:val="34"/>
          <w:szCs w:val="34"/>
          <w:rtl w:val="0"/>
        </w:rPr>
        <w:t xml:space="preserve">Exceptions</w:t>
      </w:r>
    </w:p>
    <w:p w:rsidR="00000000" w:rsidDel="00000000" w:rsidP="00000000" w:rsidRDefault="00000000" w:rsidRPr="00000000" w14:paraId="0000002D">
      <w:pPr>
        <w:spacing w:after="240" w:before="240" w:lineRule="auto"/>
        <w:rPr/>
      </w:pPr>
      <w:r w:rsidDel="00000000" w:rsidR="00000000" w:rsidRPr="00000000">
        <w:rPr>
          <w:color w:val="000018"/>
          <w:highlight w:val="white"/>
          <w:rtl w:val="0"/>
        </w:rPr>
        <w:t xml:space="preserve">The organization does not issue or authorize the use of removable media. However, if a legitimate use case arises, a documented exception is required prior to moving, copying, or storing customer or company confidential data on any media or removable device; all portable devices and removable media containing sensitive data must be encrypted using approved standards and mechanisms.</w:t>
      </w:r>
      <w:r w:rsidDel="00000000" w:rsidR="00000000" w:rsidRPr="00000000">
        <w:rPr>
          <w:rtl w:val="0"/>
        </w:rPr>
      </w:r>
    </w:p>
    <w:p w:rsidR="00000000" w:rsidDel="00000000" w:rsidP="00000000" w:rsidRDefault="00000000" w:rsidRPr="00000000" w14:paraId="0000002E">
      <w:pPr>
        <w:pStyle w:val="Heading2"/>
        <w:keepNext w:val="0"/>
        <w:keepLines w:val="0"/>
        <w:spacing w:after="80" w:lineRule="auto"/>
        <w:rPr>
          <w:b w:val="1"/>
          <w:bCs w:val="1"/>
          <w:sz w:val="34"/>
          <w:szCs w:val="34"/>
        </w:rPr>
      </w:pPr>
      <w:bookmarkStart w:colFirst="0" w:colLast="0" w:name="_lzfky4cjbpl9" w:id="6"/>
      <w:bookmarkEnd w:id="6"/>
      <w:r w:rsidDel="00000000" w:rsidR="00000000" w:rsidRPr="00000000">
        <w:rPr>
          <w:b w:val="1"/>
          <w:bCs w:val="1"/>
          <w:sz w:val="34"/>
          <w:szCs w:val="34"/>
          <w:rtl w:val="0"/>
        </w:rPr>
        <w:t xml:space="preserve">Violations &amp; Enforcement</w:t>
      </w:r>
    </w:p>
    <w:p w:rsidR="00000000" w:rsidDel="00000000" w:rsidP="00000000" w:rsidRDefault="00000000" w:rsidRPr="00000000" w14:paraId="0000002F">
      <w:pPr>
        <w:spacing w:after="240" w:before="240" w:lineRule="auto"/>
        <w:rPr/>
      </w:pPr>
      <w:r w:rsidDel="00000000" w:rsidR="00000000" w:rsidRPr="00000000">
        <w:rPr>
          <w:rtl w:val="0"/>
        </w:rPr>
        <w:t xml:space="preserve">Any known violations of this policy should be reported to the Security Delegate. Violations of this policy can result in immediate withdrawal or suspension of system and network privileges and/or disciplinary action in accordance with company procedures up to and including termination of employment.</w:t>
      </w:r>
    </w:p>
    <w:p w:rsidR="00000000" w:rsidDel="00000000" w:rsidP="00000000" w:rsidRDefault="00000000" w:rsidRPr="00000000" w14:paraId="00000030">
      <w:pPr>
        <w:pStyle w:val="Heading2"/>
        <w:keepNext w:val="0"/>
        <w:keepLines w:val="0"/>
        <w:spacing w:after="80" w:lineRule="auto"/>
        <w:rPr/>
      </w:pPr>
      <w:bookmarkStart w:colFirst="0" w:colLast="0" w:name="_1fob37j9mh20" w:id="7"/>
      <w:bookmarkEnd w:id="7"/>
      <w:r w:rsidDel="00000000" w:rsidR="00000000" w:rsidRPr="00000000">
        <w:rPr>
          <w:b w:val="1"/>
          <w:bCs w:val="1"/>
          <w:sz w:val="34"/>
          <w:szCs w:val="34"/>
          <w:rtl w:val="0"/>
        </w:rPr>
        <w:t xml:space="preserve">Document History</w:t>
      </w: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line="240" w:lineRule="auto"/>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pPr>
            <w:r w:rsidDel="00000000" w:rsidR="00000000" w:rsidRPr="00000000">
              <w:rPr>
                <w:rtl w:val="0"/>
              </w:rPr>
              <w:t xml:space="preserve">Written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Approved by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rPr/>
            </w:pPr>
            <w:r w:rsidDel="00000000" w:rsidR="00000000" w:rsidRPr="00000000">
              <w:rPr>
                <w:rtl w:val="0"/>
              </w:rPr>
              <w:t xml:space="preserve">[TODAYS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Initial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color w:val="1d1c1d"/>
                <w:sz w:val="23"/>
                <w:szCs w:val="23"/>
                <w:highlight w:val="white"/>
                <w:rtl w:val="0"/>
              </w:rPr>
              <w:t xml:space="preserve">[NAME]</w:t>
            </w:r>
            <w:r w:rsidDel="00000000" w:rsidR="00000000" w:rsidRPr="00000000">
              <w:rPr>
                <w:rtl w:val="0"/>
              </w:rPr>
            </w:r>
          </w:p>
        </w:tc>
      </w:tr>
    </w:tbl>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sectPr>
      <w:headerReference w:type="default" r:id="rId8"/>
      <w:footerReference w:type="default" r:id="rId9"/>
      <w:headerReference w:type="first" r:id="rId10"/>
      <w:footerReference w:type="first" r:id="rId11"/>
      <w:headerReference w:type="even" r:id="rId12"/>
      <w:footerReference w:type="even" r:id="rId13"/>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src.nist.gov/projects/cryptographic-standards-and-guidelines" TargetMode="External"/><Relationship Id="rId7" Type="http://schemas.openxmlformats.org/officeDocument/2006/relationships/hyperlink" Target="https://csrc.nist.gov/projects/cryptographic-standards-and-guidelines" TargetMode="Externa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
  <cp:lastModifiedBy/>
  <cp:revision>1</cp:revision>
  <dcterms:modified xsi:type="dcterms:W3CDTF">2026-10-29T06:07:03Z</dcterms:modified>
  <dc:creator/>
  <dc:description/>
  <dc:subject/>
  <cp:keywords/>
</cp:coreProperties>
</file>