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Customer DPA Template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Data Processing Agreement between the customer (controller) and the organisation (processor).</w:t>
      </w:r>
    </w:p>
    <w:p>
      <w:pPr>
        <w:pStyle w:val="Heading1"/>
      </w:pPr>
      <w:r>
        <w:t>2. Scope</w:t>
      </w:r>
    </w:p>
    <w:p>
      <w:r>
        <w:t>Customer agreements involving personal data processing.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Negotiates and executes.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Maintains sub-processor list.</w:t>
            </w:r>
          </w:p>
        </w:tc>
      </w:tr>
    </w:tbl>
    <w:p/>
    <w:p>
      <w:pPr>
        <w:pStyle w:val="Heading1"/>
      </w:pPr>
      <w:r>
        <w:t>4. Required terms (Art. 28(3))</w:t>
      </w:r>
    </w:p>
    <w:p>
      <w:pPr>
        <w:pStyle w:val="ListBullet"/>
      </w:pPr>
      <w:r>
        <w:t>Subject matter, duration, nature and purpose of processing, types of personal data and categories of data subjects (Annex 1).</w:t>
      </w:r>
    </w:p>
    <w:p>
      <w:pPr>
        <w:pStyle w:val="ListBullet"/>
      </w:pPr>
      <w:r>
        <w:t>Process only on documented instructions of the controller.</w:t>
      </w:r>
    </w:p>
    <w:p>
      <w:pPr>
        <w:pStyle w:val="ListBullet"/>
      </w:pPr>
      <w:r>
        <w:t>Confidentiality of personnel.</w:t>
      </w:r>
    </w:p>
    <w:p>
      <w:pPr>
        <w:pStyle w:val="ListBullet"/>
      </w:pPr>
      <w:r>
        <w:t>Security measures per Art. 32 (Annex 2).</w:t>
      </w:r>
    </w:p>
    <w:p>
      <w:pPr>
        <w:pStyle w:val="ListBullet"/>
      </w:pPr>
      <w:r>
        <w:t>Sub-processors only with authorisation; flow-down of obligations; notice of changes with right to object.</w:t>
      </w:r>
    </w:p>
    <w:p>
      <w:pPr>
        <w:pStyle w:val="ListBullet"/>
      </w:pPr>
      <w:r>
        <w:t>Assist with data subject requests.</w:t>
      </w:r>
    </w:p>
    <w:p>
      <w:pPr>
        <w:pStyle w:val="ListBullet"/>
      </w:pPr>
      <w:r>
        <w:t>Assist with security, breach notification, DPIA and consultation.</w:t>
      </w:r>
    </w:p>
    <w:p>
      <w:pPr>
        <w:pStyle w:val="ListBullet"/>
      </w:pPr>
      <w:r>
        <w:t>Delete or return data at end of services.</w:t>
      </w:r>
    </w:p>
    <w:p>
      <w:pPr>
        <w:pStyle w:val="ListBullet"/>
      </w:pPr>
      <w:r>
        <w:t>Make information available and allow audits.</w:t>
      </w:r>
    </w:p>
    <w:p>
      <w:pPr>
        <w:pStyle w:val="ListBullet"/>
      </w:pPr>
      <w:r>
        <w:t>International transfers via SCCs or other safeguards (Annex 3).</w:t>
      </w:r>
    </w:p>
    <w:p>
      <w:pPr>
        <w:pStyle w:val="ListBullet"/>
      </w:pPr>
      <w:r>
        <w:t>Breach notification to the controller without undue delay (target [48] hours).</w:t>
      </w:r>
    </w:p>
    <w:p>
      <w:pPr>
        <w:pStyle w:val="Heading1"/>
      </w:pPr>
      <w:r>
        <w:t>5. Frequency and timing</w:t>
      </w:r>
    </w:p>
    <w:p>
      <w:r>
        <w:t>Each customer contract.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Executed DPAs</w:t>
      </w:r>
    </w:p>
    <w:p>
      <w:r>
        <w:t>☐  Sub-processor list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28, 32, 44 to 46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DPA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