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7m47tl5cf" w:id="0"/>
      <w:bookmarkEnd w:id="0"/>
      <w:r w:rsidDel="00000000" w:rsidR="00000000" w:rsidRPr="00000000">
        <w:rPr>
          <w:rtl w:val="0"/>
        </w:rPr>
        <w:t xml:space="preserve">Incident Response</w:t>
      </w:r>
    </w:p>
    <w:p w:rsidR="00000000" w:rsidDel="00000000" w:rsidP="00000000" w:rsidRDefault="00000000" w:rsidRPr="00000000" w14:paraId="00000002">
      <w:pPr>
        <w:pStyle w:val="Heading2"/>
        <w:rPr/>
      </w:pPr>
      <w:bookmarkStart w:colFirst="0" w:colLast="0" w:name="_8w8n233zlptq"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Use of these scenarios is appropriate in test cases where the exercise will look to evaluate the incident response plan.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spacing w:after="240" w:before="240" w:lineRule="auto"/>
        <w:rPr/>
      </w:pPr>
      <w:bookmarkStart w:colFirst="0" w:colLast="0" w:name="_dycivz6i55y1" w:id="2"/>
      <w:bookmarkEnd w:id="2"/>
      <w:r w:rsidDel="00000000" w:rsidR="00000000" w:rsidRPr="00000000">
        <w:rPr>
          <w:rtl w:val="0"/>
        </w:rPr>
        <w:t xml:space="preserve">Scenario: Ransomware Infection</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Incident Details: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 member of the Finance Team indicated that their laptop was infected with ransomware after clicking on a malicious email attachment. There is potentially sensitive customer PII contained on the laptop, including a spreadsheet with bank and customer bank routing information. It is believed that most critical data is also located in online copies in a protected cloud share. The Incident Response Plan was fully activated in response to this incident, IT Operations and Security Staff were notified 4 hours after the incident via a text message to one of the IT Team members; this individual then escalated via email.</w:t>
      </w:r>
      <w:r w:rsidDel="00000000" w:rsidR="00000000" w:rsidRPr="00000000">
        <w:rPr>
          <w:rtl w:val="0"/>
        </w:rPr>
      </w:r>
    </w:p>
    <w:p w:rsidR="00000000" w:rsidDel="00000000" w:rsidP="00000000" w:rsidRDefault="00000000" w:rsidRPr="00000000" w14:paraId="0000000A">
      <w:pPr>
        <w:pStyle w:val="Heading3"/>
        <w:spacing w:after="240" w:before="240" w:lineRule="auto"/>
        <w:rPr/>
      </w:pPr>
      <w:bookmarkStart w:colFirst="0" w:colLast="0" w:name="_rfmx6wd8o7uu" w:id="3"/>
      <w:bookmarkEnd w:id="3"/>
      <w:r w:rsidDel="00000000" w:rsidR="00000000" w:rsidRPr="00000000">
        <w:rPr>
          <w:rtl w:val="0"/>
        </w:rPr>
      </w:r>
    </w:p>
    <w:p w:rsidR="00000000" w:rsidDel="00000000" w:rsidP="00000000" w:rsidRDefault="00000000" w:rsidRPr="00000000" w14:paraId="0000000B">
      <w:pPr>
        <w:pStyle w:val="Heading3"/>
        <w:spacing w:after="240" w:before="240" w:lineRule="auto"/>
        <w:rPr/>
      </w:pPr>
      <w:bookmarkStart w:colFirst="0" w:colLast="0" w:name="_j3hozr3jkyz6" w:id="4"/>
      <w:bookmarkEnd w:id="4"/>
      <w:r w:rsidDel="00000000" w:rsidR="00000000" w:rsidRPr="00000000">
        <w:rPr>
          <w:b w:val="1"/>
          <w:bCs w:val="1"/>
          <w:rtl w:val="0"/>
        </w:rPr>
        <w:t xml:space="preserve">Immediate Impact:</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laptop’s files are unavailable pending containment and recovery. Customer PII, including bank account and routing information, may be at risk; the scenario does not establish that the data was exfiltrated. The four-hour delay in notifying IT and Security could extend the time before containment. If protected cloud copies are intact, operations may be restored from them after integrity checks. Potential consequences include disruption to Finance work, fraudulent use of exposed banking data, customer notification or regulatory obligations, and reputational harm.</w:t>
      </w:r>
    </w:p>
    <w:p w:rsidR="00000000" w:rsidDel="00000000" w:rsidP="00000000" w:rsidRDefault="00000000" w:rsidRPr="00000000" w14:paraId="0000000D">
      <w:pPr>
        <w:pStyle w:val="Heading3"/>
        <w:spacing w:after="240" w:before="240" w:lineRule="auto"/>
        <w:rPr/>
      </w:pPr>
      <w:bookmarkStart w:colFirst="0" w:colLast="0" w:name="_raxy6hrnw2ps" w:id="5"/>
      <w:bookmarkEnd w:id="5"/>
      <w:r w:rsidDel="00000000" w:rsidR="00000000" w:rsidRPr="00000000">
        <w:rPr>
          <w:rtl w:val="0"/>
        </w:rPr>
        <w:t xml:space="preserve">Scenario: DDoS Attack on Primary Infrastructure</w:t>
      </w:r>
    </w:p>
    <w:p w:rsidR="00000000" w:rsidDel="00000000" w:rsidP="00000000" w:rsidRDefault="00000000" w:rsidRPr="00000000" w14:paraId="0000000E">
      <w:pPr>
        <w:rPr>
          <w:b w:val="1"/>
          <w:bCs w:val="1"/>
        </w:rPr>
      </w:pPr>
      <w:r w:rsidDel="00000000" w:rsidR="00000000" w:rsidRPr="00000000">
        <w:rPr>
          <w:b w:val="1"/>
          <w:bCs w:val="1"/>
          <w:rtl w:val="0"/>
        </w:rPr>
        <w:t xml:space="preserve">Scenario Background:</w:t>
      </w:r>
    </w:p>
    <w:p w:rsidR="00000000" w:rsidDel="00000000" w:rsidP="00000000" w:rsidRDefault="00000000" w:rsidRPr="00000000" w14:paraId="0000000F">
      <w:pPr>
        <w:spacing w:after="240" w:lineRule="auto"/>
        <w:rPr/>
      </w:pPr>
      <w:r w:rsidDel="00000000" w:rsidR="00000000" w:rsidRPr="00000000">
        <w:rPr>
          <w:rtl w:val="0"/>
        </w:rPr>
        <w:t xml:space="preserve">The organization relies on a suite of internally developed business applications to support daily operations including client management, order processing, reporting, and internal communications. These applications are hosted in a secure, cloud-based environment and are accessed by teams across departments. The architecture includes layered security measures such as web application firewalls, rate limiting, and CDN-based protections. Despite these defenses, the applications remain critical points of vulnerability, particularly to external threats such as denial-of-service attacks that can disrupt access and affect business continuity.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Incident Details:</w:t>
      </w:r>
      <w:r w:rsidDel="00000000" w:rsidR="00000000" w:rsidRPr="00000000">
        <w:rPr>
          <w:rtl w:val="0"/>
        </w:rPr>
        <w:t xml:space="preserve"> </w:t>
      </w:r>
    </w:p>
    <w:p w:rsidR="00000000" w:rsidDel="00000000" w:rsidP="00000000" w:rsidRDefault="00000000" w:rsidRPr="00000000" w14:paraId="00000012">
      <w:pPr>
        <w:spacing w:after="240" w:lineRule="auto"/>
        <w:rPr/>
      </w:pPr>
      <w:r w:rsidDel="00000000" w:rsidR="00000000" w:rsidRPr="00000000">
        <w:rPr>
          <w:rtl w:val="0"/>
        </w:rPr>
        <w:t xml:space="preserve">Monitoring tools detected a significant increase in incoming traffic targeting the public-facing endpoints of several core internal business applications. The pattern matched a coordinated Distributed Denial-of-Service (DDoS) attack originating from multiple regions. Within minutes, service availability deteriorated, and application access became unreliable for internal users. The attack overwhelmed the WAF and rate-limiting protections, triggering automated alerts and failover mechanisms. The security team immediately began mitigation procedures using cloud-based DDoS protection tools and manual filtering rules to limit exposure.</w:t>
      </w:r>
    </w:p>
    <w:p w:rsidR="00000000" w:rsidDel="00000000" w:rsidP="00000000" w:rsidRDefault="00000000" w:rsidRPr="00000000" w14:paraId="00000013">
      <w:pPr>
        <w:rPr/>
      </w:pPr>
      <w:r w:rsidDel="00000000" w:rsidR="00000000" w:rsidRPr="00000000">
        <w:rPr>
          <w:b w:val="1"/>
          <w:bCs w:val="1"/>
          <w:rtl w:val="0"/>
        </w:rPr>
        <w:t xml:space="preserve">Immediate Impact:</w:t>
      </w:r>
      <w:r w:rsidDel="00000000" w:rsidR="00000000" w:rsidRPr="00000000">
        <w:rPr>
          <w:rtl w:val="0"/>
        </w:rPr>
        <w:t xml:space="preserve"> </w:t>
      </w:r>
    </w:p>
    <w:p w:rsidR="00000000" w:rsidDel="00000000" w:rsidP="00000000" w:rsidRDefault="00000000" w:rsidRPr="00000000" w14:paraId="00000014">
      <w:pPr>
        <w:spacing w:after="240" w:lineRule="auto"/>
        <w:rPr/>
      </w:pPr>
      <w:r w:rsidDel="00000000" w:rsidR="00000000" w:rsidRPr="00000000">
        <w:rPr>
          <w:rtl w:val="0"/>
        </w:rPr>
        <w:t xml:space="preserve">The DDoS attack rendered multiple business-critical applications inaccessible for approximately 12 hours. Internal teams were unable to complete time-sensitive tasks, including client communications, order fulfillment, and incident tracking. Productivity dropped across departments relying on these systems for operational continuity. Manual workarounds were implemented where possible, and essential services were prioritized for restoration. Although no data loss occurred, the disruption prompted increased support tickets and internal escalations. The disaster recovery team initiated post-event reviews and began planning long-term improvements to application-layer DDoS defenses and incident response automation.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qvps8ondtn1n" w:id="6"/>
      <w:bookmarkEnd w:id="6"/>
      <w:r w:rsidDel="00000000" w:rsidR="00000000" w:rsidRPr="00000000">
        <w:rPr>
          <w:rtl w:val="0"/>
        </w:rPr>
        <w:t xml:space="preserve">Disaster Recovery and Business Continuity</w:t>
      </w:r>
    </w:p>
    <w:p w:rsidR="00000000" w:rsidDel="00000000" w:rsidP="00000000" w:rsidRDefault="00000000" w:rsidRPr="00000000" w14:paraId="00000018">
      <w:pPr>
        <w:pStyle w:val="Heading3"/>
        <w:spacing w:after="240" w:before="240" w:lineRule="auto"/>
        <w:rPr/>
      </w:pPr>
      <w:bookmarkStart w:colFirst="0" w:colLast="0" w:name="_2zyrmvtapo61" w:id="7"/>
      <w:bookmarkEnd w:id="7"/>
      <w:r w:rsidDel="00000000" w:rsidR="00000000" w:rsidRPr="00000000">
        <w:rPr>
          <w:rtl w:val="0"/>
        </w:rPr>
        <w:t xml:space="preserve">Scenario: Natural Disaster_power Outage</w:t>
      </w:r>
    </w:p>
    <w:p w:rsidR="00000000" w:rsidDel="00000000" w:rsidP="00000000" w:rsidRDefault="00000000" w:rsidRPr="00000000" w14:paraId="00000019">
      <w:pPr>
        <w:rPr/>
      </w:pPr>
      <w:r w:rsidDel="00000000" w:rsidR="00000000" w:rsidRPr="00000000">
        <w:rPr>
          <w:b w:val="1"/>
          <w:bCs w:val="1"/>
          <w:rtl w:val="0"/>
        </w:rPr>
        <w:t xml:space="preserve">Scenario Background:</w:t>
      </w: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rtl w:val="0"/>
        </w:rPr>
        <w:t>Our [City]-based facility serves as a central hub for staff operations and resource management, including critical functions such as product delivery coordination, logistics, and customer support. The facility is equipped with on-premise infrastructure, internal servers, and physical resource handling systems that support both digital and operational workflows. While some remote work capabilities exist, the facility is the primary location for operations management, making it vital to business continuity. The disaster recovery plan accounts for scenarios involving physical disruptions, including natural disasters, power failures, and infrastructure outages that may impede facility access and staff productivity.</w:t>
      </w:r>
    </w:p>
    <w:p w:rsidR="00000000" w:rsidDel="00000000" w:rsidP="00000000" w:rsidRDefault="00000000" w:rsidRPr="00000000" w14:paraId="0000001B">
      <w:pPr>
        <w:rPr/>
      </w:pPr>
      <w:r w:rsidDel="00000000" w:rsidR="00000000" w:rsidRPr="00000000">
        <w:rPr>
          <w:b w:val="1"/>
          <w:bCs w:val="1"/>
          <w:rtl w:val="0"/>
        </w:rPr>
        <w:t xml:space="preserve">Incident Details: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 severe infrastructure failure, caused by a prolonged regional power outage and related utility disruptions, rendered the [City] facility completely inoperable. Essential systems, including internet access, on-premise inventory and documents, and communication lines, were affected. Staff were forced to transition to remote work within 24 hours of the outage declaration. Logistics operations and document delivery scheduling were disrupted, as access to physical inventory management systems and coordination tools was lost. This incident is projected to last five business days, during which time continuity measures outlined in the disaster recovery plan were initiated to support decentralized operations.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Immediate Impact:</w:t>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t xml:space="preserve">The immediate impact included a halt in all on-site operations, delays in product delivery schedules, and decreased operational efficiency due to limited access to in-facility tools. Staff working remotely experienced increased dependency on cloud-based communication and coordination platforms. Customers experienced delays in shipment confirmations and support response times. Contingency actions—such as load redistribution to alternative facilities, virtual coordination of delivery schedules, and IT support for remote connectivity—were activated to minimize disruption. While full recovery and facility reoccupation were anticipated after five days, a long-term assessment of facility readiness and resilience enhancements was initiated concurrently.</w:t>
      </w:r>
    </w:p>
    <w:p w:rsidR="00000000" w:rsidDel="00000000" w:rsidP="00000000" w:rsidRDefault="00000000" w:rsidRPr="00000000" w14:paraId="00000020">
      <w:pPr>
        <w:pStyle w:val="Heading3"/>
        <w:spacing w:after="240" w:before="240" w:lineRule="auto"/>
        <w:rPr/>
      </w:pPr>
      <w:bookmarkStart w:colFirst="0" w:colLast="0" w:name="_4rqia7jm6b8e" w:id="8"/>
      <w:bookmarkEnd w:id="8"/>
      <w:r w:rsidDel="00000000" w:rsidR="00000000" w:rsidRPr="00000000">
        <w:rPr>
          <w:rtl w:val="0"/>
        </w:rPr>
        <w:t xml:space="preserve">Scenario: AWS Fail-Over (Or other cloud provider)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Scenario Background:</w:t>
        <w:br w:type="textWrapping"/>
      </w:r>
      <w:r w:rsidDel="00000000" w:rsidR="00000000" w:rsidRPr="00000000">
        <w:rPr>
          <w:rtl w:val="0"/>
        </w:rPr>
        <w:t xml:space="preserve">Your company’s complete set of automated appointment scheduling, payment processing, same-business-day transfer, client management, and built-in marketing solutions was designed to empower beauty and wellness professionals to focus on being creators, not admins. The platform supports thousands of professionals across the country and is built for scale using a microservices architecture in AWS. Core operational data—including appointments, client records, and payment history—is housed in a centralized monolithic datastore. The system includes an active-passive failover design across two AWS regions, but real-world DR response hasn’t been fully exercised under live pressure.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Incident Details:</w:t>
        <w:br w:type="textWrapping"/>
      </w:r>
      <w:r w:rsidDel="00000000" w:rsidR="00000000" w:rsidRPr="00000000">
        <w:rPr>
          <w:rtl w:val="0"/>
        </w:rPr>
        <w:t xml:space="preserve">At 2:13 AM on a weekday, your primary AWS region experiences a widespread outage that disrupts connectivity to core services. At first, it looks like a temporary blip, but after 30 minutes, key services—including appointment scheduling, payment processing, and client management—are completely unresponsive. Monitoring alerts confirm that the monolithic datastore is offline and inaccessible. As your engineering team begins executing the failover plan to the passive AWS region, they discover that the last fully replicated snapshot is three hours old due to a misconfiguration in the backup sync schedule. Now leadership must decide: restore from the available snapshot to get the platform back up quickly, or delay recovery efforts in hopes that the primary region comes back online and full data can be salvaged.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Immediate Impact:</w:t>
        <w:br w:type="textWrapping"/>
      </w:r>
      <w:r w:rsidDel="00000000" w:rsidR="00000000" w:rsidRPr="00000000">
        <w:rPr>
          <w:rtl w:val="0"/>
        </w:rPr>
        <w:t xml:space="preserve">Professionals using your platform are unable to view or manage appointments, process payments, or communicate with clients, resulting in widespread cancellations and lost revenue. Same-day transfers are paused, leading to financial disruptions for many users who rely on them. Internally, pressure builds as customer service teams are overwhelmed, stakeholders demand recovery timelines, and key business partners begin escalating concerns.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pPr>
        <w:pStyle w:val="Heading2"/>
      </w:pPr>
      <w:r>
        <w:t>Document History</w:t>
      </w:r>
    </w:p>
    <w:tbl>
      <w:tblPr>
        <w:tblW w:type="auto" w:w="0"/>
        <w:tblLook w:firstColumn="1" w:firstRow="1" w:lastColumn="0" w:lastRow="0" w:noHBand="0" w:noVBand="1" w:val="04A0"/>
      </w:tblPr>
      <w:tblGrid>
        <w:gridCol w:w="1872"/>
        <w:gridCol w:w="1872"/>
        <w:gridCol w:w="1872"/>
        <w:gridCol w:w="1872"/>
        <w:gridCol w:w="1872"/>
      </w:tblGrid>
      <w:tr>
        <w:tc>
          <w:tcPr>
            <w:tcW w:type="dxa" w:w="1872"/>
            <w:shd w:val="clear" w:color="auto" w:fill="EDE9FE"/>
          </w:tcPr>
          <w:p>
            <w:r>
              <w:rPr>
                <w:b/>
              </w:rPr>
              <w:t>Version</w:t>
            </w:r>
          </w:p>
        </w:tc>
        <w:tc>
          <w:tcPr>
            <w:tcW w:type="dxa" w:w="1872"/>
            <w:shd w:val="clear" w:color="auto" w:fill="EDE9FE"/>
          </w:tcPr>
          <w:p>
            <w:r>
              <w:rPr>
                <w:b/>
              </w:rPr>
              <w:t>Date</w:t>
            </w:r>
          </w:p>
        </w:tc>
        <w:tc>
          <w:tcPr>
            <w:tcW w:type="dxa" w:w="1872"/>
            <w:shd w:val="clear" w:color="auto" w:fill="EDE9FE"/>
          </w:tcPr>
          <w:p>
            <w:r>
              <w:rPr>
                <w:b/>
              </w:rPr>
              <w:t>Description</w:t>
            </w:r>
          </w:p>
        </w:tc>
        <w:tc>
          <w:tcPr>
            <w:tcW w:type="dxa" w:w="1872"/>
            <w:shd w:val="clear" w:color="auto" w:fill="EDE9FE"/>
          </w:tcPr>
          <w:p>
            <w:r>
              <w:rPr>
                <w:b/>
              </w:rPr>
              <w:t>Written by</w:t>
            </w:r>
          </w:p>
        </w:tc>
        <w:tc>
          <w:tcPr>
            <w:tcW w:type="dxa" w:w="1872"/>
            <w:shd w:val="clear" w:color="auto" w:fill="EDE9FE"/>
          </w:tcPr>
          <w:p>
            <w:r>
              <w:rPr>
                <w:b/>
              </w:rPr>
              <w:t>Approved by</w:t>
            </w:r>
          </w:p>
        </w:tc>
      </w:tr>
      <w:tr>
        <w:tc>
          <w:tcPr>
            <w:tcW w:type="dxa" w:w="1872"/>
          </w:tcPr>
          <w:p>
            <w:r>
              <w:t>1.0.0</w:t>
            </w:r>
          </w:p>
        </w:tc>
        <w:tc>
          <w:tcPr>
            <w:tcW w:type="dxa" w:w="1872"/>
          </w:tcPr>
          <w:p>
            <w:r>
              <w:t>[TODAYS DATE]</w:t>
            </w:r>
          </w:p>
        </w:tc>
        <w:tc>
          <w:tcPr>
            <w:tcW w:type="dxa" w:w="1872"/>
          </w:tcPr>
          <w:p>
            <w:r>
              <w:t>Initial Version</w:t>
            </w:r>
          </w:p>
        </w:tc>
        <w:tc>
          <w:tcPr>
            <w:tcW w:type="dxa" w:w="1872"/>
          </w:tcPr>
          <w:p>
            <w:r>
              <w:t>[Name]</w:t>
            </w:r>
          </w:p>
        </w:tc>
        <w:tc>
          <w:tcPr>
            <w:tcW w:type="dxa" w:w="1872"/>
          </w:tcPr>
          <w:p>
            <w:r>
              <w:t>[Name]</w:t>
            </w:r>
          </w:p>
        </w:tc>
      </w:tr>
    </w:tbl>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2026-10-29T04:54:02Z</dcterms:modified>
  <dc:creator/>
  <dc:description/>
  <dc:subject/>
  <cp:keywords/>
</cp:coreProperties>
</file>