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Data Subject Request Procedure and Log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Procedure and log for handling data subject requests within the legal timeframe.</w:t>
      </w:r>
    </w:p>
    <w:p>
      <w:pPr>
        <w:pStyle w:val="Heading1"/>
      </w:pPr>
      <w:r>
        <w:t>2. Scope</w:t>
      </w:r>
    </w:p>
    <w:p>
      <w:r>
        <w:t>Requests from individuals exercising GDPR (and similar) rights.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Manages requests.</w:t>
            </w:r>
          </w:p>
        </w:tc>
      </w:tr>
      <w:tr>
        <w:tc>
          <w:tcPr>
            <w:tcW w:type="dxa" w:w="4873"/>
          </w:tcPr>
          <w:p>
            <w:r>
              <w:t>Engineering / Support</w:t>
            </w:r>
          </w:p>
        </w:tc>
        <w:tc>
          <w:tcPr>
            <w:tcW w:type="dxa" w:w="4873"/>
          </w:tcPr>
          <w:p>
            <w:r>
              <w:t>Retrieve, correct or delete data.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Log the request on receipt from any channel.</w:t>
      </w:r>
    </w:p>
    <w:p>
      <w:pPr>
        <w:ind w:left="340" w:hanging="340"/>
      </w:pPr>
      <w:r>
        <w:t>2. Verify identity proportionately.</w:t>
      </w:r>
    </w:p>
    <w:p>
      <w:pPr>
        <w:ind w:left="340" w:hanging="340"/>
      </w:pPr>
      <w:r>
        <w:t>3. Identify request type: access, rectification, erasure, restriction, portability, objection.</w:t>
      </w:r>
    </w:p>
    <w:p>
      <w:pPr>
        <w:ind w:left="340" w:hanging="340"/>
      </w:pPr>
      <w:r>
        <w:t>4. Locate data across systems using the data inventory.</w:t>
      </w:r>
    </w:p>
    <w:p>
      <w:pPr>
        <w:ind w:left="340" w:hanging="340"/>
      </w:pPr>
      <w:r>
        <w:t>5. Respond within one month (extendable by two months for complex requests with notice).</w:t>
      </w:r>
    </w:p>
    <w:p>
      <w:pPr>
        <w:ind w:left="340" w:hanging="340"/>
      </w:pPr>
      <w:r>
        <w:t>6. Record the response and any exemptions applied.</w:t>
      </w:r>
    </w:p>
    <w:p>
      <w:pPr>
        <w:ind w:left="340" w:hanging="340"/>
      </w:pPr>
      <w:r>
        <w:t>7. If processor, forward to the controller and assist.</w:t>
      </w:r>
    </w:p>
    <w:p>
      <w:pPr>
        <w:pStyle w:val="Heading1"/>
      </w:pPr>
      <w:r>
        <w:t>5. Frequency and timing</w:t>
      </w:r>
    </w:p>
    <w:p>
      <w:r>
        <w:t>Each request.</w:t>
      </w:r>
    </w:p>
    <w:p>
      <w:pPr>
        <w:pStyle w:val="Heading1"/>
      </w:pPr>
      <w:r>
        <w:t>6. Record</w:t>
      </w:r>
    </w:p>
    <w:p>
      <w:r>
        <w:rPr>
          <w:i/>
        </w:rPr>
        <w:t>Complete one copy of this table per entry (or keep entries in a spreadsheet with these columns).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r>
              <w:t>Request ID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Date received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Type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Identity verified (date)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Systems searched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Due date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Response date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Outcome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Handled by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DSAR log</w:t>
      </w:r>
    </w:p>
    <w:p>
      <w:r>
        <w:t>☐  Sample responses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12 to 22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Subject Request Procedure and Log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