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Engineering Operating Procedures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Documents operating procedures for routine engineering and operations tasks so they are performed consistently and securely.</w:t>
      </w:r>
    </w:p>
    <w:p>
      <w:pPr>
        <w:pStyle w:val="Heading1"/>
      </w:pPr>
      <w:r>
        <w:t>2. Scope</w:t>
      </w:r>
    </w:p>
    <w:p>
      <w:r>
        <w:t>Production operations.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Engineering Lead</w:t>
            </w:r>
          </w:p>
        </w:tc>
        <w:tc>
          <w:tcPr>
            <w:tcW w:type="dxa" w:w="4873"/>
          </w:tcPr>
          <w:p>
            <w:r>
              <w:t>Owns the process.</w:t>
            </w:r>
          </w:p>
        </w:tc>
      </w:tr>
      <w:tr>
        <w:tc>
          <w:tcPr>
            <w:tcW w:type="dxa" w:w="4873"/>
          </w:tcPr>
          <w:p>
            <w:r>
              <w:t>Engineers</w:t>
            </w:r>
          </w:p>
        </w:tc>
        <w:tc>
          <w:tcPr>
            <w:tcW w:type="dxa" w:w="4873"/>
          </w:tcPr>
          <w:p>
            <w:r>
              <w:t>Follow it and record evidence.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periodically.</w:t>
            </w:r>
          </w:p>
        </w:tc>
      </w:tr>
    </w:tbl>
    <w:p/>
    <w:p>
      <w:pPr>
        <w:pStyle w:val="Heading1"/>
      </w:pPr>
      <w:r>
        <w:t>4. Runbook index</w:t>
      </w:r>
    </w:p>
    <w:p>
      <w:pPr>
        <w:pStyle w:val="ListBullet"/>
      </w:pPr>
      <w:r>
        <w:t>Deployment and rollback</w:t>
      </w:r>
    </w:p>
    <w:p>
      <w:pPr>
        <w:pStyle w:val="ListBullet"/>
      </w:pPr>
      <w:r>
        <w:t>On-call and alert handling</w:t>
      </w:r>
    </w:p>
    <w:p>
      <w:pPr>
        <w:pStyle w:val="ListBullet"/>
      </w:pPr>
      <w:r>
        <w:t>Backup verification and restore</w:t>
      </w:r>
    </w:p>
    <w:p>
      <w:pPr>
        <w:pStyle w:val="ListBullet"/>
      </w:pPr>
      <w:r>
        <w:t>Scaling and capacity changes</w:t>
      </w:r>
    </w:p>
    <w:p>
      <w:pPr>
        <w:pStyle w:val="ListBullet"/>
      </w:pPr>
      <w:r>
        <w:t>Certificate renewal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User provisioning in production tools</w:t>
      </w:r>
    </w:p>
    <w:p>
      <w:pPr>
        <w:pStyle w:val="ListBullet"/>
      </w:pPr>
      <w:r>
        <w:t>Incident escalation</w:t>
      </w:r>
    </w:p>
    <w:p>
      <w:pPr>
        <w:pStyle w:val="Heading1"/>
      </w:pPr>
      <w:r>
        <w:t>5. Runbook format</w:t>
      </w:r>
    </w:p>
    <w:p>
      <w:pPr>
        <w:pStyle w:val="ListBullet"/>
      </w:pPr>
      <w:r>
        <w:t>Purpose and trigger</w:t>
      </w:r>
    </w:p>
    <w:p>
      <w:pPr>
        <w:pStyle w:val="ListBullet"/>
      </w:pPr>
      <w:r>
        <w:t>Prerequisites and access needed</w:t>
      </w:r>
    </w:p>
    <w:p>
      <w:pPr>
        <w:pStyle w:val="ListBullet"/>
      </w:pPr>
      <w:r>
        <w:t>Step-by-step instructions</w:t>
      </w:r>
    </w:p>
    <w:p>
      <w:pPr>
        <w:pStyle w:val="ListBullet"/>
      </w:pPr>
      <w:r>
        <w:t>Verification steps</w:t>
      </w:r>
    </w:p>
    <w:p>
      <w:pPr>
        <w:pStyle w:val="ListBullet"/>
      </w:pPr>
      <w:r>
        <w:t>Rollback steps</w:t>
      </w:r>
    </w:p>
    <w:p>
      <w:pPr>
        <w:pStyle w:val="ListBullet"/>
      </w:pPr>
      <w:r>
        <w:t>Owner and last reviewed date</w:t>
      </w:r>
    </w:p>
    <w:p>
      <w:pPr>
        <w:pStyle w:val="Heading1"/>
      </w:pPr>
      <w:r>
        <w:t>6. Frequency and timing</w:t>
      </w:r>
    </w:p>
    <w:p>
      <w:r>
        <w:t>Each runbook reviewed annually or after use reveals gaps.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Runbook repository</w:t>
      </w:r>
    </w:p>
    <w:p>
      <w:r>
        <w:t>☐  Review dates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A.5.37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Operating Procedures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