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External NDA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Mutual non-disclosure agreement for prospects, partners and suppliers before confidential information is exchanged.</w:t>
      </w:r>
    </w:p>
    <w:p>
      <w:pPr>
        <w:pStyle w:val="Heading1"/>
      </w:pPr>
      <w:r>
        <w:t>2. Scope</w:t>
      </w:r>
    </w:p>
    <w:p>
      <w:r>
        <w:t>Third parties receiving or sharing confidential information.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 / Business Owner</w:t>
            </w:r>
          </w:p>
        </w:tc>
        <w:tc>
          <w:tcPr>
            <w:tcW w:type="dxa" w:w="4873"/>
          </w:tcPr>
          <w:p>
            <w:r>
              <w:t>Executes the NDA before disclosure.</w:t>
            </w:r>
          </w:p>
        </w:tc>
      </w:tr>
    </w:tbl>
    <w:p/>
    <w:p>
      <w:pPr>
        <w:pStyle w:val="Heading1"/>
      </w:pPr>
      <w:r>
        <w:t>4. Agreement</w:t>
      </w:r>
    </w:p>
    <w:p>
      <w:pPr>
        <w:pStyle w:val="ListBullet"/>
      </w:pPr>
      <w:r>
        <w:t>Parties: [Organisation Name] and [Counterparty].</w:t>
      </w:r>
    </w:p>
    <w:p>
      <w:pPr>
        <w:pStyle w:val="ListBullet"/>
      </w:pPr>
      <w:r>
        <w:t>Purpose: evaluating or performing [describe purpose].</w:t>
      </w:r>
    </w:p>
    <w:p>
      <w:pPr>
        <w:pStyle w:val="ListBullet"/>
      </w:pPr>
      <w:r>
        <w:t>Each party protects the other's Confidential Information with at least reasonable care and uses it only for the Purpose.</w:t>
      </w:r>
    </w:p>
    <w:p>
      <w:pPr>
        <w:pStyle w:val="ListBullet"/>
      </w:pPr>
      <w:r>
        <w:t>Disclosure is limited to employees and advisers who need to know and are bound by similar obligations.</w:t>
      </w:r>
    </w:p>
    <w:p>
      <w:pPr>
        <w:pStyle w:val="ListBullet"/>
      </w:pPr>
      <w:r>
        <w:t>Compelled disclosure: notify the other party where legally permitted and disclose only what is required.</w:t>
      </w:r>
    </w:p>
    <w:p>
      <w:pPr>
        <w:pStyle w:val="ListBullet"/>
      </w:pPr>
      <w:r>
        <w:t>Return or destroy Confidential Information on request.</w:t>
      </w:r>
    </w:p>
    <w:p>
      <w:pPr>
        <w:pStyle w:val="ListBullet"/>
      </w:pPr>
      <w:r>
        <w:t>Term: [2] years from the effective date; confidentiality survives [3] years after termination.</w:t>
      </w:r>
    </w:p>
    <w:p>
      <w:pPr>
        <w:pStyle w:val="ListBullet"/>
      </w:pPr>
      <w:r>
        <w:t>No licence or obligation to proceed with any transaction is created.</w:t>
      </w:r>
    </w:p>
    <w:p>
      <w:pPr>
        <w:pStyle w:val="ListBullet"/>
      </w:pPr>
      <w:r>
        <w:t>Governing law and signatures.</w:t>
      </w:r>
    </w:p>
    <w:p>
      <w:pPr>
        <w:pStyle w:val="Heading1"/>
      </w:pPr>
      <w:r>
        <w:t>5. Frequency and timing</w:t>
      </w:r>
    </w:p>
    <w:p>
      <w:r>
        <w:t>Before confidential disclosure.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Executed NDAs for sampled third parties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A.5.20, A.6.6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