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GDPR Compliance Policy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Describes how [Organisation Name] meets GDPR principles, lawful bases, data subject rights and accountability duties.</w:t>
      </w:r>
    </w:p>
    <w:p>
      <w:pPr>
        <w:pStyle w:val="Heading1"/>
      </w:pPr>
      <w:r>
        <w:t>2. Scope</w:t>
      </w:r>
    </w:p>
    <w:p>
      <w:r>
        <w:t>All processing of personal data of individuals in the EU/EEA and UK.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DPO / Privacy Officer</w:t>
            </w:r>
          </w:p>
        </w:tc>
        <w:tc>
          <w:tcPr>
            <w:tcW w:type="dxa" w:w="4873"/>
          </w:tcPr>
          <w:p>
            <w:r>
              <w:t>Monitors compliance and advises.</w:t>
            </w:r>
          </w:p>
        </w:tc>
      </w:tr>
      <w:tr>
        <w:tc>
          <w:tcPr>
            <w:tcW w:type="dxa" w:w="4873"/>
          </w:tcPr>
          <w:p>
            <w:r>
              <w:t>Data Owners</w:t>
            </w:r>
          </w:p>
        </w:tc>
        <w:tc>
          <w:tcPr>
            <w:tcW w:type="dxa" w:w="4873"/>
          </w:tcPr>
          <w:p>
            <w:r>
              <w:t>Ensure processing in their area complies.</w:t>
            </w:r>
          </w:p>
        </w:tc>
      </w:tr>
      <w:tr>
        <w:tc>
          <w:tcPr>
            <w:tcW w:type="dxa" w:w="4873"/>
          </w:tcPr>
          <w:p>
            <w:r>
              <w:t>All personnel</w:t>
            </w:r>
          </w:p>
        </w:tc>
        <w:tc>
          <w:tcPr>
            <w:tcW w:type="dxa" w:w="4873"/>
          </w:tcPr>
          <w:p>
            <w:r>
              <w:t>Handle personal data per this policy.</w:t>
            </w:r>
          </w:p>
        </w:tc>
      </w:tr>
    </w:tbl>
    <w:p/>
    <w:p>
      <w:pPr>
        <w:pStyle w:val="Heading1"/>
      </w:pPr>
      <w:r>
        <w:t>4. Requirements</w:t>
      </w:r>
    </w:p>
    <w:p>
      <w:pPr>
        <w:pStyle w:val="ListBullet"/>
      </w:pPr>
      <w:r>
        <w:t>Personal data is processed lawfully, fairly and transparently, for specified purposes, minimised, accurate, retained no longer than needed, and secured (Art. 5).</w:t>
      </w:r>
    </w:p>
    <w:p>
      <w:pPr>
        <w:pStyle w:val="ListBullet"/>
      </w:pPr>
      <w:r>
        <w:t>Each processing activity has a documented lawful basis in the Records of Processing (Art. 30).</w:t>
      </w:r>
    </w:p>
    <w:p>
      <w:pPr>
        <w:pStyle w:val="ListBullet"/>
      </w:pPr>
      <w:r>
        <w:t>Privacy notices are provided at collection (Art. 13, 14).</w:t>
      </w:r>
    </w:p>
    <w:p>
      <w:pPr>
        <w:pStyle w:val="ListBullet"/>
      </w:pPr>
      <w:r>
        <w:t>Data subject requests are handled within one month (Art. 12 to 22).</w:t>
      </w:r>
    </w:p>
    <w:p>
      <w:pPr>
        <w:pStyle w:val="ListBullet"/>
      </w:pPr>
      <w:r>
        <w:t>DPIAs are performed for high-risk processing (Art. 35).</w:t>
      </w:r>
    </w:p>
    <w:p>
      <w:pPr>
        <w:pStyle w:val="ListBullet"/>
      </w:pPr>
      <w:r>
        <w:t>Processors are bound by DPAs (Art. 28).</w:t>
      </w:r>
    </w:p>
    <w:p>
      <w:pPr>
        <w:pStyle w:val="ListBullet"/>
      </w:pPr>
      <w:r>
        <w:t>International transfers use adequacy, SCCs or the DPF (Chapter V).</w:t>
      </w:r>
    </w:p>
    <w:p>
      <w:pPr>
        <w:pStyle w:val="ListBullet"/>
      </w:pPr>
      <w:r>
        <w:t>Personal data breaches are handled per the Incident Response Plan GDPR addendum (Art. 33, 34).</w:t>
      </w:r>
    </w:p>
    <w:p>
      <w:pPr>
        <w:pStyle w:val="ListBullet"/>
      </w:pPr>
      <w:r>
        <w:t>Privacy by design and default is applied to new systems (Art. 25).</w:t>
      </w:r>
    </w:p>
    <w:p>
      <w:pPr>
        <w:pStyle w:val="Heading1"/>
      </w:pPr>
      <w:r>
        <w:t>5. Exceptions and enforcement</w:t>
      </w:r>
    </w:p>
    <w:p>
      <w:pPr>
        <w:pStyle w:val="ListBullet"/>
      </w:pPr>
      <w:r>
        <w:t>Exceptions require a documented business justification, a risk assessment and approval by the Security Lead; approved exceptions are recorded in the exception register with an expiry date.</w:t>
      </w:r>
    </w:p>
    <w:p>
      <w:pPr>
        <w:pStyle w:val="ListBullet"/>
      </w:pPr>
      <w:r>
        <w:t>Violations may result in disciplinary action up to and including termination of employment or contract, and may be reported to authorities where required by law.</w:t>
      </w:r>
    </w:p>
    <w:p>
      <w:pPr>
        <w:pStyle w:val="Heading1"/>
      </w:pPr>
      <w:r>
        <w:t>6. Frequency and timing</w:t>
      </w:r>
    </w:p>
    <w:p>
      <w:r>
        <w:t>Reviewed annually.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ROPA</w:t>
      </w:r>
    </w:p>
    <w:p>
      <w:r>
        <w:t>☐  DPIAs</w:t>
      </w:r>
    </w:p>
    <w:p>
      <w:r>
        <w:t>☐  DSAR log</w:t>
      </w:r>
    </w:p>
    <w:p>
      <w:r>
        <w:t>☐  DPAs</w:t>
      </w:r>
    </w:p>
    <w:p>
      <w:r>
        <w:t>☐  Transfer mechanisms</w:t>
      </w:r>
    </w:p>
    <w:p>
      <w:r>
        <w:t>☐  Breach register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5, 6, 12 to 22, 24, 25, 28, 30, 32 to 35, 44 to 49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GDPR Compliance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