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HIPAA Compliance Policy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Describes how [Organisation Name] complies with the HIPAA Security, Privacy and Breach Notification Rules as a [covered entity / business associate].</w:t>
      </w:r>
    </w:p>
    <w:p>
      <w:pPr>
        <w:pStyle w:val="Heading1"/>
      </w:pPr>
      <w:r>
        <w:t>2. Scope</w:t>
      </w:r>
    </w:p>
    <w:p>
      <w:r>
        <w:t>All workforce members, systems and business associates that create, receive, maintain or transmit PHI.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HIPAA Security Officer</w:t>
            </w:r>
          </w:p>
        </w:tc>
        <w:tc>
          <w:tcPr>
            <w:tcW w:type="dxa" w:w="4873"/>
          </w:tcPr>
          <w:p>
            <w:r>
              <w:t>Implements the Security Rule.</w:t>
            </w:r>
          </w:p>
        </w:tc>
      </w:tr>
      <w:tr>
        <w:tc>
          <w:tcPr>
            <w:tcW w:type="dxa" w:w="4873"/>
          </w:tcPr>
          <w:p>
            <w:r>
              <w:t>HIPAA Privacy Officer</w:t>
            </w:r>
          </w:p>
        </w:tc>
        <w:tc>
          <w:tcPr>
            <w:tcW w:type="dxa" w:w="4873"/>
          </w:tcPr>
          <w:p>
            <w:r>
              <w:t>Implements the Privacy Rule.</w:t>
            </w:r>
          </w:p>
        </w:tc>
      </w:tr>
      <w:tr>
        <w:tc>
          <w:tcPr>
            <w:tcW w:type="dxa" w:w="4873"/>
          </w:tcPr>
          <w:p>
            <w:r>
              <w:t>Workforce</w:t>
            </w:r>
          </w:p>
        </w:tc>
        <w:tc>
          <w:tcPr>
            <w:tcW w:type="dxa" w:w="4873"/>
          </w:tcPr>
          <w:p>
            <w:r>
              <w:t>Comply with HIPAA policies.</w:t>
            </w:r>
          </w:p>
        </w:tc>
      </w:tr>
    </w:tbl>
    <w:p/>
    <w:p>
      <w:pPr>
        <w:pStyle w:val="Heading1"/>
      </w:pPr>
      <w:r>
        <w:t>4. Program requirements</w:t>
      </w:r>
    </w:p>
    <w:p>
      <w:pPr>
        <w:pStyle w:val="ListBullet"/>
      </w:pPr>
      <w:r>
        <w:t>A HIPAA Security Officer and Privacy Officer are designated in writing.</w:t>
      </w:r>
    </w:p>
    <w:p>
      <w:pPr>
        <w:pStyle w:val="ListBullet"/>
      </w:pPr>
      <w:r>
        <w:t>A HIPAA risk analysis is performed at least annually and risk management measures implemented.</w:t>
      </w:r>
    </w:p>
    <w:p>
      <w:pPr>
        <w:pStyle w:val="ListBullet"/>
      </w:pPr>
      <w:r>
        <w:t>Administrative, physical and technical safeguards are implemented per 45 CFR 164.308 to 164.312.</w:t>
      </w:r>
    </w:p>
    <w:p>
      <w:pPr>
        <w:pStyle w:val="ListBullet"/>
      </w:pPr>
      <w:r>
        <w:t>Workforce receive HIPAA training at hire and annually; sanctions apply for violations.</w:t>
      </w:r>
    </w:p>
    <w:p>
      <w:pPr>
        <w:pStyle w:val="ListBullet"/>
      </w:pPr>
      <w:r>
        <w:t>Business associate agreements are executed before sharing PHI.</w:t>
      </w:r>
    </w:p>
    <w:p>
      <w:pPr>
        <w:pStyle w:val="ListBullet"/>
      </w:pPr>
      <w:r>
        <w:t>Access to ePHI is logged and audit logs reviewed.</w:t>
      </w:r>
    </w:p>
    <w:p>
      <w:pPr>
        <w:pStyle w:val="ListBullet"/>
      </w:pPr>
      <w:r>
        <w:t>Breaches are handled under the Incident Response Plan HIPAA addendum.</w:t>
      </w:r>
    </w:p>
    <w:p>
      <w:pPr>
        <w:pStyle w:val="ListBullet"/>
      </w:pPr>
      <w:r>
        <w:t>Policies and documentation are retained for 6 years.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Officer designation letters</w:t>
      </w:r>
    </w:p>
    <w:p>
      <w:r>
        <w:t>☐  Risk analysis</w:t>
      </w:r>
    </w:p>
    <w:p>
      <w:r>
        <w:t>☐  Training records</w:t>
      </w:r>
    </w:p>
    <w:p>
      <w:r>
        <w:t>☐  BAAs</w:t>
      </w:r>
    </w:p>
    <w:p>
      <w:r>
        <w:t>☐  Audit log review evidence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164.308, 164.310, 164.312, 164.316, 164.530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HIPAA Compliance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