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Pseudonymisation Procedure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Describes how personal data is pseudonymised and how re-identification is prevented.</w:t>
      </w:r>
    </w:p>
    <w:p>
      <w:pPr>
        <w:pStyle w:val="Heading1"/>
      </w:pPr>
      <w:r>
        <w:t>2. Scope</w:t>
      </w:r>
    </w:p>
    <w:p>
      <w:r>
        <w:t>Datasets used for analytics, testing or sharing.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Privacy Officer / DPO</w:t>
            </w:r>
          </w:p>
        </w:tc>
        <w:tc>
          <w:tcPr>
            <w:tcW w:type="dxa" w:w="4873"/>
          </w:tcPr>
          <w:p>
            <w:r>
              <w:t>Owns the record and advises.</w:t>
            </w:r>
          </w:p>
        </w:tc>
      </w:tr>
      <w:tr>
        <w:tc>
          <w:tcPr>
            <w:tcW w:type="dxa" w:w="4873"/>
          </w:tcPr>
          <w:p>
            <w:r>
              <w:t>Legal</w:t>
            </w:r>
          </w:p>
        </w:tc>
        <w:tc>
          <w:tcPr>
            <w:tcW w:type="dxa" w:w="4873"/>
          </w:tcPr>
          <w:p>
            <w:r>
              <w:t>Reviews legal positions.</w:t>
            </w:r>
          </w:p>
        </w:tc>
      </w:tr>
    </w:tbl>
    <w:p/>
    <w:p>
      <w:pPr>
        <w:pStyle w:val="Heading1"/>
      </w:pPr>
      <w:r>
        <w:t>4. Procedure</w:t>
      </w:r>
    </w:p>
    <w:p>
      <w:pPr>
        <w:ind w:left="340" w:hanging="340"/>
      </w:pPr>
      <w:r>
        <w:t>1. Identify direct identifiers.</w:t>
      </w:r>
    </w:p>
    <w:p>
      <w:pPr>
        <w:ind w:left="340" w:hanging="340"/>
      </w:pPr>
      <w:r>
        <w:t>2. Replace with tokens or keyed hashes.</w:t>
      </w:r>
    </w:p>
    <w:p>
      <w:pPr>
        <w:ind w:left="340" w:hanging="340"/>
      </w:pPr>
      <w:r>
        <w:t>3. Store keys separately with restricted access.</w:t>
      </w:r>
    </w:p>
    <w:p>
      <w:pPr>
        <w:ind w:left="340" w:hanging="340"/>
      </w:pPr>
      <w:r>
        <w:t>4. Assess re-identification risk.</w:t>
      </w:r>
    </w:p>
    <w:p>
      <w:pPr>
        <w:ind w:left="340" w:hanging="340"/>
      </w:pPr>
      <w:r>
        <w:t>5. Log re-identification approvals.</w:t>
      </w:r>
    </w:p>
    <w:p>
      <w:pPr>
        <w:pStyle w:val="Heading1"/>
      </w:pPr>
      <w:r>
        <w:t>5. Frequency and timing</w:t>
      </w:r>
    </w:p>
    <w:p>
      <w:r>
        <w:t>Reviewed annually.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Procedure</w:t>
      </w:r>
    </w:p>
    <w:p>
      <w:r>
        <w:t>☐  Key access list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4(5), 25, 32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Pseudonymisation Procedure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