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SOC 2 System Description (Section III)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Section III of a SOC 2 report describing the system and controls.</w:t>
      </w:r>
    </w:p>
    <w:p>
      <w:pPr>
        <w:pStyle w:val="Heading1"/>
      </w:pPr>
      <w:r>
        <w:t>2. Scope</w:t>
      </w:r>
    </w:p>
    <w:p>
      <w:r>
        <w:t>The system in scope of the SOC 2 examination.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Marketing / Legal</w:t>
            </w:r>
          </w:p>
        </w:tc>
        <w:tc>
          <w:tcPr>
            <w:tcW w:type="dxa" w:w="4873"/>
          </w:tcPr>
          <w:p>
            <w:r>
              <w:t>Publishes and maintains the page.</w:t>
            </w:r>
          </w:p>
        </w:tc>
      </w:tr>
      <w:tr>
        <w:tc>
          <w:tcPr>
            <w:tcW w:type="dxa" w:w="4873"/>
          </w:tcPr>
          <w:p>
            <w:r>
              <w:t>Security Lead / Privacy Officer</w:t>
            </w:r>
          </w:p>
        </w:tc>
        <w:tc>
          <w:tcPr>
            <w:tcW w:type="dxa" w:w="4873"/>
          </w:tcPr>
          <w:p>
            <w:r>
              <w:t>Confirms accuracy.</w:t>
            </w:r>
          </w:p>
        </w:tc>
      </w:tr>
    </w:tbl>
    <w:p/>
    <w:p>
      <w:pPr>
        <w:pStyle w:val="Heading1"/>
      </w:pPr>
      <w:r>
        <w:t>4. Required elements (DC 200)</w:t>
      </w:r>
    </w:p>
    <w:p>
      <w:pPr>
        <w:pStyle w:val="ListBullet"/>
      </w:pPr>
      <w:r>
        <w:t>Company overview and services provided.</w:t>
      </w:r>
    </w:p>
    <w:p>
      <w:pPr>
        <w:pStyle w:val="ListBullet"/>
      </w:pPr>
      <w:r>
        <w:t>Principal service commitments and system requirements.</w:t>
      </w:r>
    </w:p>
    <w:p>
      <w:pPr>
        <w:pStyle w:val="ListBullet"/>
      </w:pPr>
      <w:r>
        <w:t>System components: infrastructure, software, people, procedures, data.</w:t>
      </w:r>
    </w:p>
    <w:p>
      <w:pPr>
        <w:pStyle w:val="ListBullet"/>
      </w:pPr>
      <w:r>
        <w:t>System boundaries and what is excluded.</w:t>
      </w:r>
    </w:p>
    <w:p>
      <w:pPr>
        <w:pStyle w:val="ListBullet"/>
      </w:pPr>
      <w:r>
        <w:t>Relevant aspects of the control environment, risk assessment, information and communication, monitoring and control activities.</w:t>
      </w:r>
    </w:p>
    <w:p>
      <w:pPr>
        <w:pStyle w:val="ListBullet"/>
      </w:pPr>
      <w:r>
        <w:t>Trust services criteria and related controls.</w:t>
      </w:r>
    </w:p>
    <w:p>
      <w:pPr>
        <w:pStyle w:val="ListBullet"/>
      </w:pPr>
      <w:r>
        <w:t>Complementary user entity controls (CUECs).</w:t>
      </w:r>
    </w:p>
    <w:p>
      <w:pPr>
        <w:pStyle w:val="ListBullet"/>
      </w:pPr>
      <w:r>
        <w:t>Subservice organisations and complementary subservice organisation controls (CSOCs); carve-out or inclusive method.</w:t>
      </w:r>
    </w:p>
    <w:p>
      <w:pPr>
        <w:pStyle w:val="ListBullet"/>
      </w:pPr>
      <w:r>
        <w:t>Significant changes during the period.</w:t>
      </w:r>
    </w:p>
    <w:p>
      <w:pPr>
        <w:pStyle w:val="ListBullet"/>
      </w:pPr>
      <w:r>
        <w:t>Incidents that affected commitments, if any.</w:t>
      </w:r>
    </w:p>
    <w:p>
      <w:pPr>
        <w:pStyle w:val="Heading1"/>
      </w:pPr>
      <w:r>
        <w:t>5. Frequency and timing</w:t>
      </w:r>
    </w:p>
    <w:p>
      <w:r>
        <w:t>Reviewed at least annually and when practices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Published page with date</w:t>
      </w:r>
    </w:p>
    <w:p>
      <w:r>
        <w:t>☐  Review record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DC 200 (2018) description criteria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2 System Description (Section III)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