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B21B6"/>
          <w:sz w:val="40"/>
        </w:rPr>
        <w:t>Special Category Data Assessment</w:t>
      </w:r>
    </w:p>
    <w:p>
      <w:r>
        <w:rPr>
          <w:i/>
        </w:rPr>
        <w:t>[Organisation Name]</w:t>
      </w:r>
    </w:p>
    <w:p>
      <w:r>
        <w:rPr>
          <w:i/>
        </w:rPr>
        <w:t>Owner: [Role]   |   Approver: [Role]   |   Classification: Internal</w:t>
      </w:r>
    </w:p>
    <w:p>
      <w:pPr>
        <w:pStyle w:val="Heading1"/>
      </w:pPr>
      <w:r>
        <w:t>1. Purpose</w:t>
      </w:r>
    </w:p>
    <w:p>
      <w:r>
        <w:t>Assesses processing of special category data and the Art. 9 condition relied on.</w:t>
      </w:r>
    </w:p>
    <w:p>
      <w:pPr>
        <w:pStyle w:val="Heading1"/>
      </w:pPr>
      <w:r>
        <w:t>2. Scope</w:t>
      </w:r>
    </w:p>
    <w:p>
      <w:r>
        <w:t>Processing of health, biometric, genetic, racial/ethnic, religious, political, union, sex life or orientation data.</w:t>
      </w:r>
    </w:p>
    <w:p>
      <w:pPr>
        <w:pStyle w:val="Heading1"/>
      </w:pPr>
      <w:r>
        <w:t>3. Roles and responsibilities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Responsibilities</w:t>
            </w:r>
          </w:p>
        </w:tc>
      </w:tr>
      <w:tr>
        <w:tc>
          <w:tcPr>
            <w:tcW w:type="dxa" w:w="4873"/>
          </w:tcPr>
          <w:p>
            <w:r>
              <w:t>Privacy Officer / DPO</w:t>
            </w:r>
          </w:p>
        </w:tc>
        <w:tc>
          <w:tcPr>
            <w:tcW w:type="dxa" w:w="4873"/>
          </w:tcPr>
          <w:p>
            <w:r>
              <w:t>Owns the record and advises.</w:t>
            </w:r>
          </w:p>
        </w:tc>
      </w:tr>
      <w:tr>
        <w:tc>
          <w:tcPr>
            <w:tcW w:type="dxa" w:w="4873"/>
          </w:tcPr>
          <w:p>
            <w:r>
              <w:t>Legal</w:t>
            </w:r>
          </w:p>
        </w:tc>
        <w:tc>
          <w:tcPr>
            <w:tcW w:type="dxa" w:w="4873"/>
          </w:tcPr>
          <w:p>
            <w:r>
              <w:t>Reviews legal positions.</w:t>
            </w:r>
          </w:p>
        </w:tc>
      </w:tr>
    </w:tbl>
    <w:p/>
    <w:p>
      <w:pPr>
        <w:pStyle w:val="Heading1"/>
      </w:pPr>
      <w:r>
        <w:t>4. Procedure</w:t>
      </w:r>
    </w:p>
    <w:p>
      <w:pPr>
        <w:ind w:left="340" w:hanging="340"/>
      </w:pPr>
      <w:r>
        <w:t>1. Describe the data and processing.</w:t>
      </w:r>
    </w:p>
    <w:p>
      <w:pPr>
        <w:ind w:left="340" w:hanging="340"/>
      </w:pPr>
      <w:r>
        <w:t>2. Identify the Art. 6 lawful basis and the Art. 9(2) condition.</w:t>
      </w:r>
    </w:p>
    <w:p>
      <w:pPr>
        <w:ind w:left="340" w:hanging="340"/>
      </w:pPr>
      <w:r>
        <w:t>3. Identify safeguards (access, encryption, minimisation).</w:t>
      </w:r>
    </w:p>
    <w:p>
      <w:pPr>
        <w:ind w:left="340" w:hanging="340"/>
      </w:pPr>
      <w:r>
        <w:t>4. Assess whether a DPIA is required.</w:t>
      </w:r>
    </w:p>
    <w:p>
      <w:pPr>
        <w:ind w:left="340" w:hanging="340"/>
      </w:pPr>
      <w:r>
        <w:t>5. Record approval.</w:t>
      </w:r>
    </w:p>
    <w:p>
      <w:pPr>
        <w:pStyle w:val="Heading1"/>
      </w:pPr>
      <w:r>
        <w:t>5. Frequency and timing</w:t>
      </w:r>
    </w:p>
    <w:p>
      <w:r>
        <w:t>Each new processing activity; reviewed annually.</w:t>
      </w:r>
    </w:p>
    <w:p>
      <w:pPr>
        <w:pStyle w:val="Heading1"/>
      </w:pPr>
      <w:r>
        <w:t>6.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92"/>
        <w:gridCol w:w="1392"/>
        <w:gridCol w:w="1392"/>
        <w:gridCol w:w="1392"/>
        <w:gridCol w:w="1392"/>
        <w:gridCol w:w="1392"/>
        <w:gridCol w:w="1392"/>
      </w:tblGrid>
      <w:tr>
        <w:tc>
          <w:tcPr>
            <w:tcW w:type="dxa" w:w="1392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Processing activity</w:t>
            </w:r>
          </w:p>
        </w:tc>
        <w:tc>
          <w:tcPr>
            <w:tcW w:type="dxa" w:w="1392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Special category</w:t>
            </w:r>
          </w:p>
        </w:tc>
        <w:tc>
          <w:tcPr>
            <w:tcW w:type="dxa" w:w="1392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Art. 6 basis</w:t>
            </w:r>
          </w:p>
        </w:tc>
        <w:tc>
          <w:tcPr>
            <w:tcW w:type="dxa" w:w="1392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Art. 9 condition</w:t>
            </w:r>
          </w:p>
        </w:tc>
        <w:tc>
          <w:tcPr>
            <w:tcW w:type="dxa" w:w="1392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Safeguards</w:t>
            </w:r>
          </w:p>
        </w:tc>
        <w:tc>
          <w:tcPr>
            <w:tcW w:type="dxa" w:w="1392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DPIA required</w:t>
            </w:r>
          </w:p>
        </w:tc>
        <w:tc>
          <w:tcPr>
            <w:tcW w:type="dxa" w:w="1392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Approved by</w:t>
            </w:r>
          </w:p>
        </w:tc>
      </w:tr>
      <w:tr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</w:tr>
      <w:tr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</w:tr>
      <w:tr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</w:tr>
      <w:tr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</w:tr>
      <w:tr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</w:tr>
      <w:tr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</w:tr>
    </w:tbl>
    <w:p/>
    <w:p>
      <w:pPr>
        <w:pStyle w:val="Heading1"/>
      </w:pPr>
      <w:r>
        <w:t>7. Audit evidence checklist</w:t>
      </w:r>
    </w:p>
    <w:p>
      <w:r>
        <w:t>Retain the following so an auditor can test this control:</w:t>
      </w:r>
    </w:p>
    <w:p>
      <w:r>
        <w:t>☐  Completed assessments</w:t>
      </w:r>
    </w:p>
    <w:p>
      <w:pPr>
        <w:pStyle w:val="Heading1"/>
      </w:pPr>
      <w:r>
        <w:t>8. Framework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Framework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Reference</w:t>
            </w:r>
          </w:p>
        </w:tc>
      </w:tr>
      <w:tr>
        <w:tc>
          <w:tcPr>
            <w:tcW w:type="dxa" w:w="4873"/>
          </w:tcPr>
          <w:p>
            <w:r>
              <w:t>GDPR</w:t>
            </w:r>
          </w:p>
        </w:tc>
        <w:tc>
          <w:tcPr>
            <w:tcW w:type="dxa" w:w="4873"/>
          </w:tcPr>
          <w:p>
            <w:r>
              <w:t>Art. 9, 35</w:t>
            </w:r>
          </w:p>
        </w:tc>
      </w:tr>
    </w:tbl>
    <w:p/>
    <w:p>
      <w:pPr>
        <w:pStyle w:val="Heading2"/>
      </w:pPr>
      <w:r>
        <w:t>Document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Date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Written by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Approved by</w:t>
            </w:r>
          </w:p>
        </w:tc>
      </w:tr>
      <w:tr>
        <w:tc>
          <w:tcPr>
            <w:tcW w:type="dxa" w:w="1949"/>
          </w:tcPr>
          <w:p>
            <w:r>
              <w:t>1.0.0</w:t>
            </w:r>
          </w:p>
        </w:tc>
        <w:tc>
          <w:tcPr>
            <w:tcW w:type="dxa" w:w="1949"/>
          </w:tcPr>
          <w:p>
            <w:r>
              <w:t>[TODAYS DATE]</w:t>
            </w:r>
          </w:p>
        </w:tc>
        <w:tc>
          <w:tcPr>
            <w:tcW w:type="dxa" w:w="1949"/>
          </w:tcPr>
          <w:p>
            <w:r>
              <w:t>Initial Version</w:t>
            </w:r>
          </w:p>
        </w:tc>
        <w:tc>
          <w:tcPr>
            <w:tcW w:type="dxa" w:w="1949"/>
          </w:tcPr>
          <w:p>
            <w:r>
              <w:t>[Name]</w:t>
            </w:r>
          </w:p>
        </w:tc>
        <w:tc>
          <w:tcPr>
            <w:tcW w:type="dxa" w:w="1949"/>
          </w:tcPr>
          <w:p>
            <w:r>
              <w:t>[Name]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Template provided by OneLens by Ruchi. Replace all [bracketed] fields before use.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5B21B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5B21B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Category Data Assessment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