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40"/>
        </w:rPr>
        <w:t>Incident Response and Disaster Recovery Tabletop Exercise</w:t>
      </w:r>
    </w:p>
    <w:p>
      <w:r>
        <w:rPr>
          <w:i/>
        </w:rPr>
        <w:t>[Organisation Name]</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Version</w:t>
            </w:r>
          </w:p>
        </w:tc>
        <w:tc>
          <w:tcPr>
            <w:tcW w:type="dxa" w:w="6236"/>
          </w:tcPr>
          <w:p>
            <w:r>
              <w:t>[x.x]</w:t>
            </w:r>
          </w:p>
        </w:tc>
      </w:tr>
      <w:tr>
        <w:tc>
          <w:tcPr>
            <w:tcW w:type="dxa" w:w="2835"/>
            <w:shd w:val="clear" w:color="auto" w:fill="EDE9FE"/>
          </w:tcPr>
          <w:p>
            <w:r>
              <w:rPr>
                <w:b/>
              </w:rPr>
              <w:t>Owner</w:t>
            </w:r>
          </w:p>
        </w:tc>
        <w:tc>
          <w:tcPr>
            <w:tcW w:type="dxa" w:w="6236"/>
          </w:tcPr>
          <w:p>
            <w:r>
              <w:t>[Role, e.g. Security Lead]</w:t>
            </w:r>
          </w:p>
        </w:tc>
      </w:tr>
      <w:tr>
        <w:tc>
          <w:tcPr>
            <w:tcW w:type="dxa" w:w="2835"/>
            <w:shd w:val="clear" w:color="auto" w:fill="EDE9FE"/>
          </w:tcPr>
          <w:p>
            <w:r>
              <w:rPr>
                <w:b/>
              </w:rPr>
              <w:t>Approver</w:t>
            </w:r>
          </w:p>
        </w:tc>
        <w:tc>
          <w:tcPr>
            <w:tcW w:type="dxa" w:w="6236"/>
          </w:tcPr>
          <w:p>
            <w:r>
              <w:t>[Role]</w:t>
            </w:r>
          </w:p>
        </w:tc>
      </w:tr>
      <w:tr>
        <w:tc>
          <w:tcPr>
            <w:tcW w:type="dxa" w:w="2835"/>
            <w:shd w:val="clear" w:color="auto" w:fill="EDE9FE"/>
          </w:tcPr>
          <w:p>
            <w:r>
              <w:rPr>
                <w:b/>
              </w:rPr>
              <w:t>Effective date</w:t>
            </w:r>
          </w:p>
        </w:tc>
        <w:tc>
          <w:tcPr>
            <w:tcW w:type="dxa" w:w="6236"/>
          </w:tcPr>
          <w:p>
            <w:r>
              <w:t>[YYYY-MM-DD]</w:t>
            </w:r>
          </w:p>
        </w:tc>
      </w:tr>
      <w:tr>
        <w:tc>
          <w:tcPr>
            <w:tcW w:type="dxa" w:w="2835"/>
            <w:shd w:val="clear" w:color="auto" w:fill="EDE9FE"/>
          </w:tcPr>
          <w:p>
            <w:r>
              <w:rPr>
                <w:b/>
              </w:rPr>
              <w:t>Next review date</w:t>
            </w:r>
          </w:p>
        </w:tc>
        <w:tc>
          <w:tcPr>
            <w:tcW w:type="dxa" w:w="6236"/>
          </w:tcPr>
          <w:p>
            <w:r>
              <w:t>[YYYY-MM-DD]</w:t>
            </w:r>
          </w:p>
        </w:tc>
      </w:tr>
      <w:tr>
        <w:tc>
          <w:tcPr>
            <w:tcW w:type="dxa" w:w="2835"/>
            <w:shd w:val="clear" w:color="auto" w:fill="EDE9FE"/>
          </w:tcPr>
          <w:p>
            <w:r>
              <w:rPr>
                <w:b/>
              </w:rPr>
              <w:t>Classification</w:t>
            </w:r>
          </w:p>
        </w:tc>
        <w:tc>
          <w:tcPr>
            <w:tcW w:type="dxa" w:w="6236"/>
          </w:tcPr>
          <w:p>
            <w:r>
              <w:t>Internal</w:t>
            </w:r>
          </w:p>
        </w:tc>
      </w:tr>
      <w:tr>
        <w:tc>
          <w:tcPr>
            <w:tcW w:type="dxa" w:w="2835"/>
            <w:shd w:val="clear" w:color="auto" w:fill="EDE9FE"/>
          </w:tcPr>
          <w:p>
            <w:r>
              <w:rPr>
                <w:b/>
              </w:rPr>
              <w:t>Framework mapping</w:t>
            </w:r>
          </w:p>
        </w:tc>
        <w:tc>
          <w:tcPr>
            <w:tcW w:type="dxa" w:w="6236"/>
          </w:tcPr>
          <w:p>
            <w:r>
              <w:t>SOC 2 CC7.4, CC7.5, A1.3 | ISO/IEC 27001:2022 A.5.24, A.5.29, A.5.30 | HIPAA 164.308(a)(7)(ii)(D) | GDPR Art. 32(1)(d)</w:t>
            </w:r>
          </w:p>
        </w:tc>
      </w:tr>
    </w:tbl>
    <w:p/>
    <w:p>
      <w:pPr>
        <w:pStyle w:val="Heading1"/>
      </w:pPr>
      <w:r>
        <w:t>Purpose</w:t>
      </w:r>
    </w:p>
    <w:p>
      <w:r>
        <w:rPr>
          <w:b w:val="0"/>
          <w:i w:val="0"/>
        </w:rPr>
        <w:t>Provides ready-to-run scenarios and an exercise record to test the incident response plan and the business continuity and disaster recovery plan at least annually. Select one or more scenarios, run the discussion, and complete the exercise record as evidence.</w:t>
      </w:r>
    </w:p>
    <w:p>
      <w:pPr>
        <w:pStyle w:val="Heading1"/>
      </w:pPr>
      <w:r>
        <w:t>1. Exercise details</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Exercise date and duration</w:t>
            </w:r>
          </w:p>
        </w:tc>
        <w:tc>
          <w:tcPr>
            <w:tcW w:type="dxa" w:w="6236"/>
          </w:tcPr>
          <w:p>
            <w:r/>
          </w:p>
        </w:tc>
      </w:tr>
      <w:tr>
        <w:tc>
          <w:tcPr>
            <w:tcW w:type="dxa" w:w="2835"/>
            <w:shd w:val="clear" w:color="auto" w:fill="EDE9FE"/>
          </w:tcPr>
          <w:p>
            <w:r>
              <w:rPr>
                <w:b/>
              </w:rPr>
              <w:t>Facilitator</w:t>
            </w:r>
          </w:p>
        </w:tc>
        <w:tc>
          <w:tcPr>
            <w:tcW w:type="dxa" w:w="6236"/>
          </w:tcPr>
          <w:p>
            <w:r/>
          </w:p>
        </w:tc>
      </w:tr>
      <w:tr>
        <w:tc>
          <w:tcPr>
            <w:tcW w:type="dxa" w:w="2835"/>
            <w:shd w:val="clear" w:color="auto" w:fill="EDE9FE"/>
          </w:tcPr>
          <w:p>
            <w:r>
              <w:rPr>
                <w:b/>
              </w:rPr>
              <w:t>Plan(s) tested</w:t>
            </w:r>
          </w:p>
        </w:tc>
        <w:tc>
          <w:tcPr>
            <w:tcW w:type="dxa" w:w="6236"/>
          </w:tcPr>
          <w:p>
            <w:r>
              <w:t>☐ Incident Response Plan  ☐ BC/DR Plan</w:t>
            </w:r>
          </w:p>
        </w:tc>
      </w:tr>
      <w:tr>
        <w:tc>
          <w:tcPr>
            <w:tcW w:type="dxa" w:w="2835"/>
            <w:shd w:val="clear" w:color="auto" w:fill="EDE9FE"/>
          </w:tcPr>
          <w:p>
            <w:r>
              <w:rPr>
                <w:b/>
              </w:rPr>
              <w:t>Scenario(s) used</w:t>
            </w:r>
          </w:p>
        </w:tc>
        <w:tc>
          <w:tcPr>
            <w:tcW w:type="dxa" w:w="6236"/>
          </w:tcPr>
          <w:p>
            <w:r/>
          </w:p>
        </w:tc>
      </w:tr>
      <w:tr>
        <w:tc>
          <w:tcPr>
            <w:tcW w:type="dxa" w:w="2835"/>
            <w:shd w:val="clear" w:color="auto" w:fill="EDE9FE"/>
          </w:tcPr>
          <w:p>
            <w:r>
              <w:rPr>
                <w:b/>
              </w:rPr>
              <w:t>Objectives</w:t>
            </w:r>
          </w:p>
        </w:tc>
        <w:tc>
          <w:tcPr>
            <w:tcW w:type="dxa" w:w="6236"/>
          </w:tcPr>
          <w:p>
            <w:r>
              <w:t>[e.g. validate escalation path, confirm RTO/RPO, test communications]</w:t>
            </w:r>
          </w:p>
        </w:tc>
      </w:tr>
    </w:tbl>
    <w:p/>
    <w:p>
      <w:pPr>
        <w:pStyle w:val="Heading1"/>
      </w:pPr>
      <w:r>
        <w:t>2. Participants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5B21B6"/>
          </w:tcPr>
          <w:p>
            <w:r>
              <w:rPr>
                <w:b/>
                <w:color w:val="FFFFFF"/>
                <w:sz w:val="19"/>
              </w:rPr>
              <w:t>Name</w:t>
            </w:r>
          </w:p>
        </w:tc>
        <w:tc>
          <w:tcPr>
            <w:tcW w:type="dxa" w:w="3249"/>
            <w:shd w:val="clear" w:color="auto" w:fill="5B21B6"/>
          </w:tcPr>
          <w:p>
            <w:r>
              <w:rPr>
                <w:b/>
                <w:color w:val="FFFFFF"/>
                <w:sz w:val="19"/>
              </w:rPr>
              <w:t>Role in exercise</w:t>
            </w:r>
          </w:p>
        </w:tc>
        <w:tc>
          <w:tcPr>
            <w:tcW w:type="dxa" w:w="3249"/>
            <w:shd w:val="clear" w:color="auto" w:fill="5B21B6"/>
          </w:tcPr>
          <w:p>
            <w:r>
              <w:rPr>
                <w:b/>
                <w:color w:val="FFFFFF"/>
                <w:sz w:val="19"/>
              </w:rPr>
              <w:t>Department</w:t>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bl>
    <w:p/>
    <w:p>
      <w:pPr>
        <w:pStyle w:val="Heading1"/>
      </w:pPr>
      <w:r>
        <w:t>3. Scenario library</w:t>
      </w:r>
    </w:p>
    <w:p>
      <w:pPr>
        <w:pStyle w:val="Heading2"/>
      </w:pPr>
      <w:r>
        <w:t>Scenario A: Ransomware on an employee laptop</w:t>
      </w:r>
    </w:p>
    <w:p>
      <w:r>
        <w:rPr>
          <w:b w:val="0"/>
          <w:i/>
        </w:rPr>
        <w:t>Plan tested: Incident Response</w:t>
      </w:r>
    </w:p>
    <w:p>
      <w:r>
        <w:rPr>
          <w:b/>
          <w:i w:val="0"/>
        </w:rPr>
        <w:t>Incident details</w:t>
      </w:r>
    </w:p>
    <w:p>
      <w:r>
        <w:rPr>
          <w:b w:val="0"/>
          <w:i w:val="0"/>
        </w:rPr>
        <w:t>An employee in the finance team reports that their laptop has been encrypted by ransomware after opening a malicious email attachment. The laptop holds a spreadsheet of customer personal and banking details. Most critical data is believed to be copied in a protected cloud share. IT and Security were notified four hours after the event by an informal message to one team member, who then escalated by email.</w:t>
      </w:r>
    </w:p>
    <w:p>
      <w:r>
        <w:rPr>
          <w:b/>
          <w:i w:val="0"/>
        </w:rPr>
        <w:t>Immediate impact</w:t>
      </w:r>
    </w:p>
    <w:p>
      <w:r>
        <w:rPr>
          <w:b w:val="0"/>
          <w:i w:val="0"/>
        </w:rPr>
        <w:t>Files on the laptop are unavailable. Customer banking data may be at risk; exfiltration has not been confirmed. The notification delay extends time to containment. Operations may be restored from cloud copies after integrity checks. Possible consequences include fraud, customer or regulator notification and reputational harm.</w:t>
      </w:r>
    </w:p>
    <w:p>
      <w:r>
        <w:rPr>
          <w:b/>
          <w:i w:val="0"/>
        </w:rPr>
        <w:t>Discussion questions</w:t>
      </w:r>
    </w:p>
    <w:p>
      <w:pPr>
        <w:pStyle w:val="ListNumber"/>
      </w:pPr>
      <w:r>
        <w:t>How should the employee have reported this, and how quickly?</w:t>
      </w:r>
    </w:p>
    <w:p>
      <w:pPr>
        <w:pStyle w:val="ListNumber"/>
      </w:pPr>
      <w:r>
        <w:t>What are the first containment steps?</w:t>
      </w:r>
    </w:p>
    <w:p>
      <w:pPr>
        <w:pStyle w:val="ListNumber"/>
      </w:pPr>
      <w:r>
        <w:t>How do we determine whether data was exfiltrated?</w:t>
      </w:r>
    </w:p>
    <w:p>
      <w:pPr>
        <w:pStyle w:val="ListNumber"/>
      </w:pPr>
      <w:r>
        <w:t>What notification obligations may apply, and who decides?</w:t>
      </w:r>
    </w:p>
    <w:p>
      <w:pPr>
        <w:pStyle w:val="ListNumber"/>
      </w:pPr>
      <w:r>
        <w:t>How do we confirm the cloud copies are clean before restoring?</w:t>
      </w:r>
    </w:p>
    <w:p>
      <w:pPr>
        <w:pStyle w:val="Heading2"/>
      </w:pPr>
      <w:r>
        <w:t>Scenario B: DDoS attack on customer-facing applications</w:t>
      </w:r>
    </w:p>
    <w:p>
      <w:r>
        <w:rPr>
          <w:b w:val="0"/>
          <w:i/>
        </w:rPr>
        <w:t>Plan tested: Incident Response</w:t>
      </w:r>
    </w:p>
    <w:p>
      <w:r>
        <w:rPr>
          <w:b/>
          <w:i w:val="0"/>
        </w:rPr>
        <w:t>Incident details</w:t>
      </w:r>
    </w:p>
    <w:p>
      <w:r>
        <w:rPr>
          <w:b w:val="0"/>
          <w:i w:val="0"/>
        </w:rPr>
        <w:t>Monitoring detects a large increase in traffic targeting the public endpoints of several core applications. The pattern matches a coordinated distributed denial-of-service attack from multiple regions. WAF and rate limiting are overwhelmed and availability degrades within minutes.</w:t>
      </w:r>
    </w:p>
    <w:p>
      <w:r>
        <w:rPr>
          <w:b/>
          <w:i w:val="0"/>
        </w:rPr>
        <w:t>Immediate impact</w:t>
      </w:r>
    </w:p>
    <w:p>
      <w:r>
        <w:rPr>
          <w:b w:val="0"/>
          <w:i w:val="0"/>
        </w:rPr>
        <w:t>Business-critical applications are unavailable for approximately [12] hours. Teams cannot complete time-sensitive work; manual workarounds are used. No data loss occurs, but support tickets and escalations increase.</w:t>
      </w:r>
    </w:p>
    <w:p>
      <w:r>
        <w:rPr>
          <w:b/>
          <w:i w:val="0"/>
        </w:rPr>
        <w:t>Discussion questions</w:t>
      </w:r>
    </w:p>
    <w:p>
      <w:pPr>
        <w:pStyle w:val="ListNumber"/>
      </w:pPr>
      <w:r>
        <w:t>Who declares the incident and sets severity?</w:t>
      </w:r>
    </w:p>
    <w:p>
      <w:pPr>
        <w:pStyle w:val="ListNumber"/>
      </w:pPr>
      <w:r>
        <w:t>Which upstream protections can be activated, and by whom?</w:t>
      </w:r>
    </w:p>
    <w:p>
      <w:pPr>
        <w:pStyle w:val="ListNumber"/>
      </w:pPr>
      <w:r>
        <w:t>How and how often do we update customers and the status page?</w:t>
      </w:r>
    </w:p>
    <w:p>
      <w:pPr>
        <w:pStyle w:val="ListNumber"/>
      </w:pPr>
      <w:r>
        <w:t>What is the threshold for invoking the DR plan?</w:t>
      </w:r>
    </w:p>
    <w:p>
      <w:pPr>
        <w:pStyle w:val="Heading2"/>
      </w:pPr>
      <w:r>
        <w:t>Scenario C: Loss of primary office or facility</w:t>
      </w:r>
    </w:p>
    <w:p>
      <w:r>
        <w:rPr>
          <w:b w:val="0"/>
          <w:i/>
        </w:rPr>
        <w:t>Plan tested: Business Continuity</w:t>
      </w:r>
    </w:p>
    <w:p>
      <w:r>
        <w:rPr>
          <w:b/>
          <w:i w:val="0"/>
        </w:rPr>
        <w:t>Incident details</w:t>
      </w:r>
    </w:p>
    <w:p>
      <w:r>
        <w:rPr>
          <w:b w:val="0"/>
          <w:i w:val="0"/>
        </w:rPr>
        <w:t>A prolonged regional power and utility outage makes the primary office at [Location] inoperable for an estimated five business days. Internet, on-site equipment, physical documents and phone lines are affected. Staff must move to remote work within 24 hours.</w:t>
      </w:r>
    </w:p>
    <w:p>
      <w:r>
        <w:rPr>
          <w:b/>
          <w:i w:val="0"/>
        </w:rPr>
        <w:t>Immediate impact</w:t>
      </w:r>
    </w:p>
    <w:p>
      <w:r>
        <w:rPr>
          <w:b w:val="0"/>
          <w:i w:val="0"/>
        </w:rPr>
        <w:t>All on-site operations stop. Deliveries and customer support response times are delayed. Staff rely entirely on cloud collaboration tools.</w:t>
      </w:r>
    </w:p>
    <w:p>
      <w:r>
        <w:rPr>
          <w:b/>
          <w:i w:val="0"/>
        </w:rPr>
        <w:t>Discussion questions</w:t>
      </w:r>
    </w:p>
    <w:p>
      <w:pPr>
        <w:pStyle w:val="ListNumber"/>
      </w:pPr>
      <w:r>
        <w:t>Is every critical process able to run remotely? Which are not?</w:t>
      </w:r>
    </w:p>
    <w:p>
      <w:pPr>
        <w:pStyle w:val="ListNumber"/>
      </w:pPr>
      <w:r>
        <w:t>How do we contact all staff if corporate systems are degraded?</w:t>
      </w:r>
    </w:p>
    <w:p>
      <w:pPr>
        <w:pStyle w:val="ListNumber"/>
      </w:pPr>
      <w:r>
        <w:t>What physical records or equipment are single points of failure?</w:t>
      </w:r>
    </w:p>
    <w:p>
      <w:pPr>
        <w:pStyle w:val="Heading2"/>
      </w:pPr>
      <w:r>
        <w:t>Scenario D: Cloud region outage and failover</w:t>
      </w:r>
    </w:p>
    <w:p>
      <w:r>
        <w:rPr>
          <w:b w:val="0"/>
          <w:i/>
        </w:rPr>
        <w:t>Plan tested: Disaster Recovery</w:t>
      </w:r>
    </w:p>
    <w:p>
      <w:r>
        <w:rPr>
          <w:b/>
          <w:i w:val="0"/>
        </w:rPr>
        <w:t>Incident details</w:t>
      </w:r>
    </w:p>
    <w:p>
      <w:r>
        <w:rPr>
          <w:b w:val="0"/>
          <w:i w:val="0"/>
        </w:rPr>
        <w:t>At [02:00] on a weekday the primary cloud region suffers a widespread outage. After 30 minutes, core services and the primary database are unresponsive. During failover to the secondary region, engineers find the latest replicated snapshot is three hours old because of a misconfigured backup schedule. Leadership must choose between restoring from the snapshot now or waiting for the primary region to recover.</w:t>
      </w:r>
    </w:p>
    <w:p>
      <w:r>
        <w:rPr>
          <w:b/>
          <w:i w:val="0"/>
        </w:rPr>
        <w:t>Immediate impact</w:t>
      </w:r>
    </w:p>
    <w:p>
      <w:r>
        <w:rPr>
          <w:b w:val="0"/>
          <w:i w:val="0"/>
        </w:rPr>
        <w:t>Customers cannot use the platform. Revenue-generating transactions stop. Support is overwhelmed and partners escalate.</w:t>
      </w:r>
    </w:p>
    <w:p>
      <w:r>
        <w:rPr>
          <w:b/>
          <w:i w:val="0"/>
        </w:rPr>
        <w:t>Discussion questions</w:t>
      </w:r>
    </w:p>
    <w:p>
      <w:pPr>
        <w:pStyle w:val="ListNumber"/>
      </w:pPr>
      <w:r>
        <w:t>Does three hours of data loss breach our RPO and customer commitments?</w:t>
      </w:r>
    </w:p>
    <w:p>
      <w:pPr>
        <w:pStyle w:val="ListNumber"/>
      </w:pPr>
      <w:r>
        <w:t>Who has authority to choose restore versus wait?</w:t>
      </w:r>
    </w:p>
    <w:p>
      <w:pPr>
        <w:pStyle w:val="ListNumber"/>
      </w:pPr>
      <w:r>
        <w:t>How will data reconciliation happen after the primary region returns?</w:t>
      </w:r>
    </w:p>
    <w:p>
      <w:pPr>
        <w:pStyle w:val="ListNumber"/>
      </w:pPr>
      <w:r>
        <w:t>How was the backup misconfiguration missed, and what monitoring would catch it?</w:t>
      </w:r>
    </w:p>
    <w:p>
      <w:pPr>
        <w:pStyle w:val="Heading2"/>
      </w:pPr>
      <w:r>
        <w:t>Scenario E: Compromised vendor or third-party credentials</w:t>
      </w:r>
    </w:p>
    <w:p>
      <w:r>
        <w:rPr>
          <w:b w:val="0"/>
          <w:i/>
        </w:rPr>
        <w:t>Plan tested: Incident Response</w:t>
      </w:r>
    </w:p>
    <w:p>
      <w:r>
        <w:rPr>
          <w:b/>
          <w:i w:val="0"/>
        </w:rPr>
        <w:t>Incident details</w:t>
      </w:r>
    </w:p>
    <w:p>
      <w:r>
        <w:rPr>
          <w:b w:val="0"/>
          <w:i w:val="0"/>
        </w:rPr>
        <w:t>A critical SaaS vendor notifies you that an attacker accessed their support systems and may have obtained API tokens for customer integrations, including yours.</w:t>
      </w:r>
    </w:p>
    <w:p>
      <w:r>
        <w:rPr>
          <w:b/>
          <w:i w:val="0"/>
        </w:rPr>
        <w:t>Immediate impact</w:t>
      </w:r>
    </w:p>
    <w:p>
      <w:r>
        <w:rPr>
          <w:b w:val="0"/>
          <w:i w:val="0"/>
        </w:rPr>
        <w:t>Unknown access to data synchronised with the vendor. Possible onward access to connected systems.</w:t>
      </w:r>
    </w:p>
    <w:p>
      <w:r>
        <w:rPr>
          <w:b/>
          <w:i w:val="0"/>
        </w:rPr>
        <w:t>Discussion questions</w:t>
      </w:r>
    </w:p>
    <w:p>
      <w:pPr>
        <w:pStyle w:val="ListNumber"/>
      </w:pPr>
      <w:r>
        <w:t>Which tokens and integrations must be rotated, and who owns them?</w:t>
      </w:r>
    </w:p>
    <w:p>
      <w:pPr>
        <w:pStyle w:val="ListNumber"/>
      </w:pPr>
      <w:r>
        <w:t>How do we assess what data the vendor holds?</w:t>
      </w:r>
    </w:p>
    <w:p>
      <w:pPr>
        <w:pStyle w:val="ListNumber"/>
      </w:pPr>
      <w:r>
        <w:t>Do contractual or regulatory notification duties apply?</w:t>
      </w:r>
    </w:p>
    <w:p>
      <w:pPr>
        <w:pStyle w:val="Heading1"/>
      </w:pPr>
      <w:r>
        <w:t>4. Exercise record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B21B6"/>
          </w:tcPr>
          <w:p>
            <w:r>
              <w:rPr>
                <w:b/>
                <w:color w:val="FFFFFF"/>
                <w:sz w:val="19"/>
              </w:rPr>
              <w:t>Time</w:t>
            </w:r>
          </w:p>
        </w:tc>
        <w:tc>
          <w:tcPr>
            <w:tcW w:type="dxa" w:w="2436"/>
            <w:shd w:val="clear" w:color="auto" w:fill="5B21B6"/>
          </w:tcPr>
          <w:p>
            <w:r>
              <w:rPr>
                <w:b/>
                <w:color w:val="FFFFFF"/>
                <w:sz w:val="19"/>
              </w:rPr>
              <w:t>Inject / event</w:t>
            </w:r>
          </w:p>
        </w:tc>
        <w:tc>
          <w:tcPr>
            <w:tcW w:type="dxa" w:w="2436"/>
            <w:shd w:val="clear" w:color="auto" w:fill="5B21B6"/>
          </w:tcPr>
          <w:p>
            <w:r>
              <w:rPr>
                <w:b/>
                <w:color w:val="FFFFFF"/>
                <w:sz w:val="19"/>
              </w:rPr>
              <w:t>Decision or action taken</w:t>
            </w:r>
          </w:p>
        </w:tc>
        <w:tc>
          <w:tcPr>
            <w:tcW w:type="dxa" w:w="2436"/>
            <w:shd w:val="clear" w:color="auto" w:fill="5B21B6"/>
          </w:tcPr>
          <w:p>
            <w:r>
              <w:rPr>
                <w:b/>
                <w:color w:val="FFFFFF"/>
                <w:sz w:val="19"/>
              </w:rPr>
              <w:t>By whom</w:t>
            </w:r>
          </w:p>
        </w:tc>
      </w:tr>
      <w:tr>
        <w:tc>
          <w:tcPr>
            <w:tcW w:type="dxa" w:w="2436"/>
          </w:tcPr>
          <w:p>
            <w:r/>
          </w:p>
        </w:tc>
        <w:tc>
          <w:tcPr>
            <w:tcW w:type="dxa" w:w="2436"/>
          </w:tcPr>
          <w:p>
            <w:r/>
          </w:p>
        </w:tc>
        <w:tc>
          <w:tcPr>
            <w:tcW w:type="dxa" w:w="2436"/>
          </w:tcPr>
          <w:p>
            <w:r/>
          </w:p>
        </w:tc>
        <w:tc>
          <w:tcPr>
            <w:tcW w:type="dxa" w:w="2436"/>
          </w:tcPr>
          <w:p>
            <w:r/>
          </w:p>
        </w:tc>
      </w:tr>
      <w:tr>
        <w:tc>
          <w:tcPr>
            <w:tcW w:type="dxa" w:w="2436"/>
          </w:tcPr>
          <w:p>
            <w:r/>
          </w:p>
        </w:tc>
        <w:tc>
          <w:tcPr>
            <w:tcW w:type="dxa" w:w="2436"/>
          </w:tcPr>
          <w:p>
            <w:r/>
          </w:p>
        </w:tc>
        <w:tc>
          <w:tcPr>
            <w:tcW w:type="dxa" w:w="2436"/>
          </w:tcPr>
          <w:p>
            <w:r/>
          </w:p>
        </w:tc>
        <w:tc>
          <w:tcPr>
            <w:tcW w:type="dxa" w:w="2436"/>
          </w:tcPr>
          <w:p>
            <w:r/>
          </w:p>
        </w:tc>
      </w:tr>
      <w:tr>
        <w:tc>
          <w:tcPr>
            <w:tcW w:type="dxa" w:w="2436"/>
          </w:tcPr>
          <w:p>
            <w:r/>
          </w:p>
        </w:tc>
        <w:tc>
          <w:tcPr>
            <w:tcW w:type="dxa" w:w="2436"/>
          </w:tcPr>
          <w:p>
            <w:r/>
          </w:p>
        </w:tc>
        <w:tc>
          <w:tcPr>
            <w:tcW w:type="dxa" w:w="2436"/>
          </w:tcPr>
          <w:p>
            <w:r/>
          </w:p>
        </w:tc>
        <w:tc>
          <w:tcPr>
            <w:tcW w:type="dxa" w:w="2436"/>
          </w:tcPr>
          <w:p>
            <w:r/>
          </w:p>
        </w:tc>
      </w:tr>
      <w:tr>
        <w:tc>
          <w:tcPr>
            <w:tcW w:type="dxa" w:w="2436"/>
          </w:tcPr>
          <w:p>
            <w:r/>
          </w:p>
        </w:tc>
        <w:tc>
          <w:tcPr>
            <w:tcW w:type="dxa" w:w="2436"/>
          </w:tcPr>
          <w:p>
            <w:r/>
          </w:p>
        </w:tc>
        <w:tc>
          <w:tcPr>
            <w:tcW w:type="dxa" w:w="2436"/>
          </w:tcPr>
          <w:p>
            <w:r/>
          </w:p>
        </w:tc>
        <w:tc>
          <w:tcPr>
            <w:tcW w:type="dxa" w:w="2436"/>
          </w:tcPr>
          <w:p>
            <w:r/>
          </w:p>
        </w:tc>
      </w:tr>
      <w:tr>
        <w:tc>
          <w:tcPr>
            <w:tcW w:type="dxa" w:w="2436"/>
          </w:tcPr>
          <w:p>
            <w:r/>
          </w:p>
        </w:tc>
        <w:tc>
          <w:tcPr>
            <w:tcW w:type="dxa" w:w="2436"/>
          </w:tcPr>
          <w:p>
            <w:r/>
          </w:p>
        </w:tc>
        <w:tc>
          <w:tcPr>
            <w:tcW w:type="dxa" w:w="2436"/>
          </w:tcPr>
          <w:p>
            <w:r/>
          </w:p>
        </w:tc>
        <w:tc>
          <w:tcPr>
            <w:tcW w:type="dxa" w:w="2436"/>
          </w:tcPr>
          <w:p>
            <w:r/>
          </w:p>
        </w:tc>
      </w:tr>
    </w:tbl>
    <w:p/>
    <w:p>
      <w:pPr>
        <w:pStyle w:val="Heading1"/>
      </w:pPr>
      <w:r>
        <w:t>5. Findings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Finding</w:t>
            </w:r>
          </w:p>
        </w:tc>
        <w:tc>
          <w:tcPr>
            <w:tcW w:type="dxa" w:w="1949"/>
            <w:shd w:val="clear" w:color="auto" w:fill="5B21B6"/>
          </w:tcPr>
          <w:p>
            <w:r>
              <w:rPr>
                <w:b/>
                <w:color w:val="FFFFFF"/>
                <w:sz w:val="19"/>
              </w:rPr>
              <w:t>What worked / gap identified</w:t>
            </w:r>
          </w:p>
        </w:tc>
        <w:tc>
          <w:tcPr>
            <w:tcW w:type="dxa" w:w="1949"/>
            <w:shd w:val="clear" w:color="auto" w:fill="5B21B6"/>
          </w:tcPr>
          <w:p>
            <w:r>
              <w:rPr>
                <w:b/>
                <w:color w:val="FFFFFF"/>
                <w:sz w:val="19"/>
              </w:rPr>
              <w:t>Improvement action</w:t>
            </w:r>
          </w:p>
        </w:tc>
        <w:tc>
          <w:tcPr>
            <w:tcW w:type="dxa" w:w="1949"/>
            <w:shd w:val="clear" w:color="auto" w:fill="5B21B6"/>
          </w:tcPr>
          <w:p>
            <w:r>
              <w:rPr>
                <w:b/>
                <w:color w:val="FFFFFF"/>
                <w:sz w:val="19"/>
              </w:rPr>
              <w:t>Owner</w:t>
            </w:r>
          </w:p>
        </w:tc>
        <w:tc>
          <w:tcPr>
            <w:tcW w:type="dxa" w:w="1949"/>
            <w:shd w:val="clear" w:color="auto" w:fill="5B21B6"/>
          </w:tcPr>
          <w:p>
            <w:r>
              <w:rPr>
                <w:b/>
                <w:color w:val="FFFFFF"/>
                <w:sz w:val="19"/>
              </w:rPr>
              <w:t>Due date</w:t>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bl>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RTO / RPO achieved in exercise vs target</w:t>
            </w:r>
          </w:p>
        </w:tc>
        <w:tc>
          <w:tcPr>
            <w:tcW w:type="dxa" w:w="6236"/>
          </w:tcPr>
          <w:p>
            <w:r/>
          </w:p>
        </w:tc>
      </w:tr>
      <w:tr>
        <w:tc>
          <w:tcPr>
            <w:tcW w:type="dxa" w:w="2835"/>
            <w:shd w:val="clear" w:color="auto" w:fill="EDE9FE"/>
          </w:tcPr>
          <w:p>
            <w:r>
              <w:rPr>
                <w:b/>
              </w:rPr>
              <w:t>Plan updates required?</w:t>
            </w:r>
          </w:p>
        </w:tc>
        <w:tc>
          <w:tcPr>
            <w:tcW w:type="dxa" w:w="6236"/>
          </w:tcPr>
          <w:p>
            <w:r>
              <w:t>☐ Yes  ☐ No   If yes, describe:</w:t>
            </w:r>
          </w:p>
        </w:tc>
      </w:tr>
      <w:tr>
        <w:tc>
          <w:tcPr>
            <w:tcW w:type="dxa" w:w="2835"/>
            <w:shd w:val="clear" w:color="auto" w:fill="EDE9FE"/>
          </w:tcPr>
          <w:p>
            <w:r>
              <w:rPr>
                <w:b/>
              </w:rPr>
              <w:t>Overall result</w:t>
            </w:r>
          </w:p>
        </w:tc>
        <w:tc>
          <w:tcPr>
            <w:tcW w:type="dxa" w:w="6236"/>
          </w:tcPr>
          <w:p>
            <w:r>
              <w:t>☐ Effective  ☐ Effective with improvements  ☐ Not effective</w:t>
            </w:r>
          </w:p>
        </w:tc>
      </w:tr>
    </w:tbl>
    <w:p/>
    <w:p>
      <w:pPr>
        <w:pStyle w:val="Heading2"/>
      </w:pPr>
      <w:r>
        <w:t>Sign-off</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Role</w:t>
            </w:r>
          </w:p>
        </w:tc>
        <w:tc>
          <w:tcPr>
            <w:tcW w:type="dxa" w:w="1949"/>
            <w:shd w:val="clear" w:color="auto" w:fill="5B21B6"/>
          </w:tcPr>
          <w:p>
            <w:r>
              <w:rPr>
                <w:b/>
                <w:color w:val="FFFFFF"/>
                <w:sz w:val="19"/>
              </w:rPr>
              <w:t>Name</w:t>
            </w:r>
          </w:p>
        </w:tc>
        <w:tc>
          <w:tcPr>
            <w:tcW w:type="dxa" w:w="1949"/>
            <w:shd w:val="clear" w:color="auto" w:fill="5B21B6"/>
          </w:tcPr>
          <w:p>
            <w:r>
              <w:rPr>
                <w:b/>
                <w:color w:val="FFFFFF"/>
                <w:sz w:val="19"/>
              </w:rPr>
              <w:t>Title</w:t>
            </w:r>
          </w:p>
        </w:tc>
        <w:tc>
          <w:tcPr>
            <w:tcW w:type="dxa" w:w="1949"/>
            <w:shd w:val="clear" w:color="auto" w:fill="5B21B6"/>
          </w:tcPr>
          <w:p>
            <w:r>
              <w:rPr>
                <w:b/>
                <w:color w:val="FFFFFF"/>
                <w:sz w:val="19"/>
              </w:rPr>
              <w:t>Signature</w:t>
            </w:r>
          </w:p>
        </w:tc>
        <w:tc>
          <w:tcPr>
            <w:tcW w:type="dxa" w:w="1949"/>
            <w:shd w:val="clear" w:color="auto" w:fill="5B21B6"/>
          </w:tcPr>
          <w:p>
            <w:r>
              <w:rPr>
                <w:b/>
                <w:color w:val="FFFFFF"/>
                <w:sz w:val="19"/>
              </w:rPr>
              <w:t>Date</w:t>
            </w:r>
          </w:p>
        </w:tc>
      </w:tr>
      <w:tr>
        <w:tc>
          <w:tcPr>
            <w:tcW w:type="dxa" w:w="1949"/>
          </w:tcPr>
          <w:p>
            <w:r>
              <w:t>Facilitator</w:t>
            </w:r>
          </w:p>
        </w:tc>
        <w:tc>
          <w:tcPr>
            <w:tcW w:type="dxa" w:w="1949"/>
          </w:tcPr>
          <w:p>
            <w:r/>
          </w:p>
        </w:tc>
        <w:tc>
          <w:tcPr>
            <w:tcW w:type="dxa" w:w="1949"/>
          </w:tcPr>
          <w:p>
            <w:r/>
          </w:p>
        </w:tc>
        <w:tc>
          <w:tcPr>
            <w:tcW w:type="dxa" w:w="1949"/>
          </w:tcPr>
          <w:p>
            <w:r/>
          </w:p>
        </w:tc>
        <w:tc>
          <w:tcPr>
            <w:tcW w:type="dxa" w:w="1949"/>
          </w:tcPr>
          <w:p>
            <w:r/>
          </w:p>
        </w:tc>
      </w:tr>
      <w:tr>
        <w:tc>
          <w:tcPr>
            <w:tcW w:type="dxa" w:w="1949"/>
          </w:tcPr>
          <w:p>
            <w:r>
              <w:t>Security Lead</w:t>
            </w:r>
          </w:p>
        </w:tc>
        <w:tc>
          <w:tcPr>
            <w:tcW w:type="dxa" w:w="1949"/>
          </w:tcPr>
          <w:p>
            <w:r/>
          </w:p>
        </w:tc>
        <w:tc>
          <w:tcPr>
            <w:tcW w:type="dxa" w:w="1949"/>
          </w:tcPr>
          <w:p>
            <w:r/>
          </w:p>
        </w:tc>
        <w:tc>
          <w:tcPr>
            <w:tcW w:type="dxa" w:w="1949"/>
          </w:tcPr>
          <w:p>
            <w:r/>
          </w:p>
        </w:tc>
        <w:tc>
          <w:tcPr>
            <w:tcW w:type="dxa" w:w="1949"/>
          </w:tcPr>
          <w:p>
            <w:r/>
          </w:p>
        </w:tc>
      </w:tr>
      <w:tr>
        <w:tc>
          <w:tcPr>
            <w:tcW w:type="dxa" w:w="1949"/>
          </w:tcPr>
          <w:p>
            <w:r>
              <w:t>Executive sponsor</w:t>
            </w:r>
          </w:p>
        </w:tc>
        <w:tc>
          <w:tcPr>
            <w:tcW w:type="dxa" w:w="1949"/>
          </w:tcPr>
          <w:p>
            <w:r/>
          </w:p>
        </w:tc>
        <w:tc>
          <w:tcPr>
            <w:tcW w:type="dxa" w:w="1949"/>
          </w:tcPr>
          <w:p>
            <w:r/>
          </w:p>
        </w:tc>
        <w:tc>
          <w:tcPr>
            <w:tcW w:type="dxa" w:w="1949"/>
          </w:tcPr>
          <w:p>
            <w:r/>
          </w:p>
        </w:tc>
        <w:tc>
          <w:tcPr>
            <w:tcW w:type="dxa" w:w="1949"/>
          </w:tcPr>
          <w:p>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Template provided by OneLens by Ruchi. Replace all [bracketed] fields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and Disaster Recovery Tabletop Exercise</dc:title>
  <dc:subject/>
  <dc:creator/>
  <cp:keywords/>
  <dc:description/>
  <cp:lastModifiedBy/>
  <cp:revision>1</cp:revision>
  <dcterms:created xsi:type="dcterms:W3CDTF">2013-12-23T23:15:00Z</dcterms:created>
  <dcterms:modified xsi:type="dcterms:W3CDTF">2013-12-23T23:15:00Z</dcterms:modified>
  <cp:category/>
</cp:coreProperties>
</file>