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Firewall and Security Group Rule Review</w:t>
      </w:r>
    </w:p>
    <w:p>
      <w:r>
        <w:rPr>
          <w:i/>
        </w:rPr>
        <w:t>[Organisation Name]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236"/>
          </w:tcPr>
          <w:p>
            <w:r>
              <w:t>[x.x]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6236"/>
          </w:tcPr>
          <w:p>
            <w:r>
              <w:t>[Role, e.g. Security Lead]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6236"/>
          </w:tcPr>
          <w:p>
            <w:r>
              <w:t>[Role]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6236"/>
          </w:tcPr>
          <w:p>
            <w:r>
              <w:t>[YYYY-MM-DD]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6236"/>
          </w:tcPr>
          <w:p>
            <w:r>
              <w:t>[YYYY-MM-DD]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6236"/>
          </w:tcPr>
          <w:p>
            <w:r>
              <w:t>Internal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Framework mapping</w:t>
            </w:r>
          </w:p>
        </w:tc>
        <w:tc>
          <w:tcPr>
            <w:tcW w:type="dxa" w:w="6236"/>
          </w:tcPr>
          <w:p>
            <w:r>
              <w:t>SOC 2 CC6.1, CC6.6 | ISO/IEC 27001:2022 A.8.20, A.8.22 | HIPAA 164.312(e)(1)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b w:val="0"/>
          <w:i w:val="0"/>
        </w:rPr>
        <w:t>Confirms that firewall rules, cloud security groups and network ACLs are appropriate, effective and aligned with the organisation's security policies. Perform at least annually and after significant network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Review title</w:t>
            </w:r>
          </w:p>
        </w:tc>
        <w:tc>
          <w:tcPr>
            <w:tcW w:type="dxa" w:w="6236"/>
          </w:tcPr>
          <w:p>
            <w:r>
              <w:t>[Organisation] Firewall Review [Year]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Reviewer(s) (role)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Review period</w:t>
            </w:r>
          </w:p>
        </w:tc>
        <w:tc>
          <w:tcPr>
            <w:tcW w:type="dxa" w:w="6236"/>
          </w:tcPr>
          <w:p>
            <w:r/>
          </w:p>
        </w:tc>
      </w:tr>
    </w:tbl>
    <w:p/>
    <w:p>
      <w:pPr>
        <w:pStyle w:val="Heading1"/>
      </w:pPr>
      <w:r>
        <w:t>Part 1: Procedure</w:t>
      </w:r>
    </w:p>
    <w:p>
      <w:r>
        <w:rPr>
          <w:b/>
          <w:i w:val="0"/>
        </w:rPr>
        <w:t>Inventory</w:t>
      </w:r>
    </w:p>
    <w:p>
      <w:pPr>
        <w:pStyle w:val="ListBullet"/>
      </w:pPr>
      <w:r>
        <w:t>Identify all in-scope firewalls: hardware, virtual and cloud-native.</w:t>
      </w:r>
    </w:p>
    <w:p>
      <w:pPr>
        <w:pStyle w:val="ListBullet"/>
      </w:pPr>
      <w:r>
        <w:t>Include perimeter firewalls, internal segmentation firewalls, cloud security groups, network ACLs and WAF rule sets.</w:t>
      </w:r>
    </w:p>
    <w:p>
      <w:r>
        <w:rPr>
          <w:b/>
          <w:i w:val="0"/>
        </w:rPr>
        <w:t>Evidence collection</w:t>
      </w:r>
    </w:p>
    <w:p>
      <w:pPr>
        <w:pStyle w:val="ListBullet"/>
      </w:pPr>
      <w:r>
        <w:t>Export the current configuration or rule set, showing the date/timestamp.</w:t>
      </w:r>
    </w:p>
    <w:p>
      <w:pPr>
        <w:pStyle w:val="ListBullet"/>
      </w:pPr>
      <w:r>
        <w:t>Obtain change logs since the last review.</w:t>
      </w:r>
    </w:p>
    <w:p>
      <w:r>
        <w:rPr>
          <w:b/>
          <w:i w:val="0"/>
        </w:rPr>
        <w:t>Review criteria for each rule</w:t>
      </w:r>
    </w:p>
    <w:p>
      <w:pPr>
        <w:pStyle w:val="ListBullet"/>
      </w:pPr>
      <w:r>
        <w:t>Rule has a documented business purpose and owner.</w:t>
      </w:r>
    </w:p>
    <w:p>
      <w:pPr>
        <w:pStyle w:val="ListBullet"/>
      </w:pPr>
      <w:r>
        <w:t>No "any/any" or 0.0.0.0/0 inbound rules to non-public services.</w:t>
      </w:r>
    </w:p>
    <w:p>
      <w:pPr>
        <w:pStyle w:val="ListBullet"/>
      </w:pPr>
      <w:r>
        <w:t>Administrative ports (SSH, RDP, database ports) are not open to the internet.</w:t>
      </w:r>
    </w:p>
    <w:p>
      <w:pPr>
        <w:pStyle w:val="ListBullet"/>
      </w:pPr>
      <w:r>
        <w:t>Unused, duplicate or shadowed rules are identified for removal.</w:t>
      </w:r>
    </w:p>
    <w:p>
      <w:pPr>
        <w:pStyle w:val="ListBullet"/>
      </w:pPr>
      <w:r>
        <w:t>Rules match the approved network diagram and segmentation design.</w:t>
      </w:r>
    </w:p>
    <w:p>
      <w:pPr>
        <w:pStyle w:val="Heading1"/>
      </w:pPr>
      <w:r>
        <w:t>Part 2: Review results</w:t>
      </w:r>
    </w:p>
    <w:p>
      <w:r>
        <w:rPr>
          <w:b/>
          <w:i w:val="0"/>
        </w:rPr>
        <w:t>In-scope firewalls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Firewall / security group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Number of rules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</w:tbl>
    <w:p/>
    <w:p>
      <w:r>
        <w:rPr>
          <w:b/>
          <w:i w:val="0"/>
        </w:rPr>
        <w:t>Rules requiring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Scope item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Rule name or ID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Reason for change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Completion date or ticket link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</w:tbl>
    <w:p/>
    <w:p>
      <w:r>
        <w:rPr>
          <w:b w:val="0"/>
          <w:i/>
        </w:rPr>
        <w:t>[Insert rule exports or screenshots with visible date/timestamp.]</w:t>
      </w:r>
    </w:p>
    <w:p>
      <w:pPr>
        <w:pStyle w:val="Heading1"/>
      </w:pPr>
      <w:r>
        <w:t>Part 3: Approval</w:t>
      </w:r>
    </w:p>
    <w:p>
      <w:r>
        <w:rPr>
          <w:b w:val="0"/>
          <w:i w:val="0"/>
        </w:rPr>
        <w:t>By signing, I certify that I performed the review of the systems above and that required action items have been completed or tracked.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pPr>
        <w:pStyle w:val="Heading1"/>
      </w:pPr>
      <w:r>
        <w:t>Part 4: Secondary approval</w:t>
      </w:r>
    </w:p>
    <w:p>
      <w:r>
        <w:rPr>
          <w:b w:val="0"/>
          <w:i w:val="0"/>
        </w:rPr>
        <w:t>Reviewers cannot approve their own changes. Use this section for independent second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21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Firewall and Security Group Rule Review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