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40"/>
        </w:rPr>
        <w:t>Master Services Agreement</w:t>
      </w:r>
    </w:p>
    <w:p>
      <w:r>
        <w:rPr>
          <w:i/>
        </w:rPr>
        <w:t>[Organisation Name]</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Version</w:t>
            </w:r>
          </w:p>
        </w:tc>
        <w:tc>
          <w:tcPr>
            <w:tcW w:type="dxa" w:w="6236"/>
          </w:tcPr>
          <w:p>
            <w:r>
              <w:t>[x.x]</w:t>
            </w:r>
          </w:p>
        </w:tc>
      </w:tr>
      <w:tr>
        <w:tc>
          <w:tcPr>
            <w:tcW w:type="dxa" w:w="2835"/>
            <w:shd w:val="clear" w:color="auto" w:fill="EDE9FE"/>
          </w:tcPr>
          <w:p>
            <w:r>
              <w:rPr>
                <w:b/>
              </w:rPr>
              <w:t>Owner</w:t>
            </w:r>
          </w:p>
        </w:tc>
        <w:tc>
          <w:tcPr>
            <w:tcW w:type="dxa" w:w="6236"/>
          </w:tcPr>
          <w:p>
            <w:r>
              <w:t>[Role, e.g. Legal / Head of Operations]</w:t>
            </w:r>
          </w:p>
        </w:tc>
      </w:tr>
      <w:tr>
        <w:tc>
          <w:tcPr>
            <w:tcW w:type="dxa" w:w="2835"/>
            <w:shd w:val="clear" w:color="auto" w:fill="EDE9FE"/>
          </w:tcPr>
          <w:p>
            <w:r>
              <w:rPr>
                <w:b/>
              </w:rPr>
              <w:t>Approver</w:t>
            </w:r>
          </w:p>
        </w:tc>
        <w:tc>
          <w:tcPr>
            <w:tcW w:type="dxa" w:w="6236"/>
          </w:tcPr>
          <w:p>
            <w:r>
              <w:t>[Role]</w:t>
            </w:r>
          </w:p>
        </w:tc>
      </w:tr>
      <w:tr>
        <w:tc>
          <w:tcPr>
            <w:tcW w:type="dxa" w:w="2835"/>
            <w:shd w:val="clear" w:color="auto" w:fill="EDE9FE"/>
          </w:tcPr>
          <w:p>
            <w:r>
              <w:rPr>
                <w:b/>
              </w:rPr>
              <w:t>Effective date</w:t>
            </w:r>
          </w:p>
        </w:tc>
        <w:tc>
          <w:tcPr>
            <w:tcW w:type="dxa" w:w="6236"/>
          </w:tcPr>
          <w:p>
            <w:r>
              <w:t>[YYYY-MM-DD]</w:t>
            </w:r>
          </w:p>
        </w:tc>
      </w:tr>
      <w:tr>
        <w:tc>
          <w:tcPr>
            <w:tcW w:type="dxa" w:w="2835"/>
            <w:shd w:val="clear" w:color="auto" w:fill="EDE9FE"/>
          </w:tcPr>
          <w:p>
            <w:r>
              <w:rPr>
                <w:b/>
              </w:rPr>
              <w:t>Next review date</w:t>
            </w:r>
          </w:p>
        </w:tc>
        <w:tc>
          <w:tcPr>
            <w:tcW w:type="dxa" w:w="6236"/>
          </w:tcPr>
          <w:p>
            <w:r>
              <w:t>[YYYY-MM-DD]</w:t>
            </w:r>
          </w:p>
        </w:tc>
      </w:tr>
      <w:tr>
        <w:tc>
          <w:tcPr>
            <w:tcW w:type="dxa" w:w="2835"/>
            <w:shd w:val="clear" w:color="auto" w:fill="EDE9FE"/>
          </w:tcPr>
          <w:p>
            <w:r>
              <w:rPr>
                <w:b/>
              </w:rPr>
              <w:t>Classification</w:t>
            </w:r>
          </w:p>
        </w:tc>
        <w:tc>
          <w:tcPr>
            <w:tcW w:type="dxa" w:w="6236"/>
          </w:tcPr>
          <w:p>
            <w:r>
              <w:t>Internal</w:t>
            </w:r>
          </w:p>
        </w:tc>
      </w:tr>
      <w:tr>
        <w:tc>
          <w:tcPr>
            <w:tcW w:type="dxa" w:w="2835"/>
            <w:shd w:val="clear" w:color="auto" w:fill="EDE9FE"/>
          </w:tcPr>
          <w:p>
            <w:r>
              <w:rPr>
                <w:b/>
              </w:rPr>
              <w:t>Framework mapping</w:t>
            </w:r>
          </w:p>
        </w:tc>
        <w:tc>
          <w:tcPr>
            <w:tcW w:type="dxa" w:w="6236"/>
          </w:tcPr>
          <w:p>
            <w:r>
              <w:t>SOC 2 CC2.3, CC9.2 | ISO/IEC 27001:2022 A.5.14, A.5.19, A.5.20, A.5.31 | GDPR Art. 28</w:t>
            </w:r>
          </w:p>
        </w:tc>
      </w:tr>
    </w:tbl>
    <w:p/>
    <w:p>
      <w:pPr>
        <w:pStyle w:val="Heading1"/>
      </w:pPr>
      <w:r>
        <w:t>Purpose</w:t>
      </w:r>
    </w:p>
    <w:p>
      <w:r>
        <w:rPr>
          <w:b w:val="0"/>
          <w:i w:val="0"/>
        </w:rPr>
        <w:t>Generic master services agreement between a service provider and a customer, including information security, data protection and incident notification terms commonly reviewed during audits and customer due diligence.</w:t>
      </w:r>
    </w:p>
    <w:p>
      <w:r>
        <w:rPr>
          <w:b w:val="0"/>
          <w:i/>
        </w:rPr>
        <w:t>Template notice: example language only, not legal advice. Have independent legal counsel review before use.</w:t>
      </w:r>
    </w:p>
    <w:p>
      <w:r>
        <w:rPr>
          <w:b w:val="0"/>
          <w:i w:val="0"/>
        </w:rPr>
        <w:t>This Master Services Agreement (the "Agreement") is made as of [Effective Date] (the "Effective Date") between [Provider Legal Name], a [Entity Type] with its principal office at [Address] ("Provider"), and [Customer Legal Name], a [Entity Type] with its principal office at [Address] ("Customer"). Provider and Customer are each a "Party" and together the "Parties".</w:t>
      </w:r>
    </w:p>
    <w:p>
      <w:pPr>
        <w:pStyle w:val="Heading2"/>
      </w:pPr>
      <w:r>
        <w:t>1. Services</w:t>
      </w:r>
    </w:p>
    <w:p>
      <w:r>
        <w:rPr>
          <w:b w:val="0"/>
          <w:i w:val="0"/>
        </w:rPr>
        <w:t>Provider will provide the services described in one or more Statements of Work ("SOW") executed under this Agreement (Appendix A). Each SOW forms part of this Agreement. If an SOW conflicts with this Agreement, this Agreement prevails unless the SOW expressly states otherwise.</w:t>
      </w:r>
    </w:p>
    <w:p>
      <w:pPr>
        <w:pStyle w:val="Heading2"/>
      </w:pPr>
      <w:r>
        <w:t>2. Term and termination</w:t>
      </w:r>
    </w:p>
    <w:p>
      <w:r>
        <w:rPr>
          <w:b w:val="0"/>
          <w:i w:val="0"/>
        </w:rPr>
        <w:t>2.1 This Agreement starts on the Effective Date and continues until terminated under this section.</w:t>
      </w:r>
    </w:p>
    <w:p>
      <w:r>
        <w:rPr>
          <w:b w:val="0"/>
          <w:i w:val="0"/>
        </w:rPr>
        <w:t>2.2 Either Party may terminate for convenience on [60] days' written notice.</w:t>
      </w:r>
    </w:p>
    <w:p>
      <w:r>
        <w:rPr>
          <w:b w:val="0"/>
          <w:i w:val="0"/>
        </w:rPr>
        <w:t>2.3 Either Party may terminate immediately on written notice if the other Party materially breaches this Agreement and fails to cure within [30] days of notice.</w:t>
      </w:r>
    </w:p>
    <w:p>
      <w:r>
        <w:rPr>
          <w:b w:val="0"/>
          <w:i w:val="0"/>
        </w:rPr>
        <w:t>2.4 On termination, Customer pays for services performed up to the termination date, and each Party returns or deletes the other's Confidential Information under Section 8.</w:t>
      </w:r>
    </w:p>
    <w:p>
      <w:r>
        <w:rPr>
          <w:b w:val="0"/>
          <w:i w:val="0"/>
        </w:rPr>
        <w:t>2.5 Termination does not relieve either Party of obligations accrued before termination.</w:t>
      </w:r>
    </w:p>
    <w:p>
      <w:pPr>
        <w:pStyle w:val="Heading2"/>
      </w:pPr>
      <w:r>
        <w:t>3. Customer responsibilities</w:t>
      </w:r>
    </w:p>
    <w:p>
      <w:r>
        <w:rPr>
          <w:b w:val="0"/>
          <w:i w:val="0"/>
        </w:rPr>
        <w:t>Customer will provide timely access to information, personnel and resources reasonably required for Provider to perform the services, and is responsible for the accuracy of information it provides.</w:t>
      </w:r>
    </w:p>
    <w:p>
      <w:pPr>
        <w:pStyle w:val="Heading2"/>
      </w:pPr>
      <w:r>
        <w:t>4. Provider responsibilities</w:t>
      </w:r>
    </w:p>
    <w:p>
      <w:r>
        <w:rPr>
          <w:b w:val="0"/>
          <w:i w:val="0"/>
        </w:rPr>
        <w:t>Provider will perform the services in a professional manner, using qualified personnel, in line with the SOW and the Service Level Agreement (Appendix C), and will train Customer personnel where the SOW requires.</w:t>
      </w:r>
    </w:p>
    <w:p>
      <w:pPr>
        <w:pStyle w:val="Heading2"/>
      </w:pPr>
      <w:r>
        <w:t>5. Fees and payment</w:t>
      </w:r>
    </w:p>
    <w:p>
      <w:r>
        <w:rPr>
          <w:b w:val="0"/>
          <w:i w:val="0"/>
        </w:rPr>
        <w:t>5.1 Customer pays the fees in Appendix B.</w:t>
      </w:r>
    </w:p>
    <w:p>
      <w:r>
        <w:rPr>
          <w:b w:val="0"/>
          <w:i w:val="0"/>
        </w:rPr>
        <w:t>5.2 Provider invoices [monthly / on milestones]. Undisputed invoices are payable within [30] days of receipt.</w:t>
      </w:r>
    </w:p>
    <w:p>
      <w:r>
        <w:rPr>
          <w:b w:val="0"/>
          <w:i w:val="0"/>
        </w:rPr>
        <w:t>5.3 Customer may dispute an invoice in good faith by written notice within [15] days; the Parties will resolve disputes promptly.</w:t>
      </w:r>
    </w:p>
    <w:p>
      <w:r>
        <w:rPr>
          <w:b w:val="0"/>
          <w:i w:val="0"/>
        </w:rPr>
        <w:t>5.4 Late undisputed amounts accrue interest at [1%] per month or the maximum lawful rate, whichever is lower.</w:t>
      </w:r>
    </w:p>
    <w:p>
      <w:r>
        <w:rPr>
          <w:b w:val="0"/>
          <w:i w:val="0"/>
        </w:rPr>
        <w:t>5.5 Pre-approved travel and expenses are reimbursed at cost with receipts.</w:t>
      </w:r>
    </w:p>
    <w:p>
      <w:pPr>
        <w:pStyle w:val="Heading2"/>
      </w:pPr>
      <w:r>
        <w:t>6. Information security</w:t>
      </w:r>
    </w:p>
    <w:p>
      <w:r>
        <w:rPr>
          <w:b w:val="0"/>
          <w:i w:val="0"/>
        </w:rPr>
        <w:t>6.1 Provider maintains a documented information security programme with administrative, technical and physical safeguards appropriate to the sensitivity of Customer Data, aligned to [SOC 2 / ISO/IEC 27001].</w:t>
      </w:r>
    </w:p>
    <w:p>
      <w:r>
        <w:rPr>
          <w:b w:val="0"/>
          <w:i w:val="0"/>
        </w:rPr>
        <w:t>6.2 Safeguards include, at minimum: access control based on least privilege and MFA; encryption of Customer Data in transit and at rest; vulnerability management and patching; logging and monitoring; secure software development; personnel screening and security training; and business continuity and disaster recovery.</w:t>
      </w:r>
    </w:p>
    <w:p>
      <w:r>
        <w:rPr>
          <w:b w:val="0"/>
          <w:i w:val="0"/>
        </w:rPr>
        <w:t>6.3 Provider will, on reasonable request and no more than once a year, provide its most recent independent audit report or certification, or complete a reasonable security questionnaire.</w:t>
      </w:r>
    </w:p>
    <w:p>
      <w:r>
        <w:rPr>
          <w:b w:val="0"/>
          <w:i w:val="0"/>
        </w:rPr>
        <w:t>6.4 Provider remains responsible for subcontractors and will bind them to security obligations no less protective than this Agreement.</w:t>
      </w:r>
    </w:p>
    <w:p>
      <w:pPr>
        <w:pStyle w:val="Heading2"/>
      </w:pPr>
      <w:r>
        <w:t>7. Security incidents</w:t>
      </w:r>
    </w:p>
    <w:p>
      <w:r>
        <w:rPr>
          <w:b w:val="0"/>
          <w:i w:val="0"/>
        </w:rPr>
        <w:t>Provider will notify Customer without undue delay, and in any event within [48/72] hours, after becoming aware of a security incident affecting Customer Data, provide available details, take reasonable steps to contain and remediate it, and cooperate with Customer's investigation and any legally required notifications.</w:t>
      </w:r>
    </w:p>
    <w:p>
      <w:pPr>
        <w:pStyle w:val="Heading2"/>
      </w:pPr>
      <w:r>
        <w:t>8. Confidentiality</w:t>
      </w:r>
    </w:p>
    <w:p>
      <w:r>
        <w:rPr>
          <w:b w:val="0"/>
          <w:i w:val="0"/>
        </w:rPr>
        <w:t>8.1 "Confidential Information" means non-public information disclosed by one Party to the other that is marked confidential or would reasonably be understood to be confidential.</w:t>
      </w:r>
    </w:p>
    <w:p>
      <w:r>
        <w:rPr>
          <w:b w:val="0"/>
          <w:i w:val="0"/>
        </w:rPr>
        <w:t>8.2 The receiving Party will use Confidential Information only to perform this Agreement, protect it with at least reasonable care, and disclose it only to personnel and advisers who need to know and are bound by equivalent obligations.</w:t>
      </w:r>
    </w:p>
    <w:p>
      <w:r>
        <w:rPr>
          <w:b w:val="0"/>
          <w:i w:val="0"/>
        </w:rPr>
        <w:t>8.3 Exclusions: information that is public through no fault of the receiving Party, already known to it, independently developed, or lawfully received from a third party.</w:t>
      </w:r>
    </w:p>
    <w:p>
      <w:r>
        <w:rPr>
          <w:b w:val="0"/>
          <w:i w:val="0"/>
        </w:rPr>
        <w:t>8.4 On termination or request, the receiving Party returns or securely deletes Confidential Information, except copies retained by law or in routine backups, which remain protected.</w:t>
      </w:r>
    </w:p>
    <w:p>
      <w:r>
        <w:rPr>
          <w:b w:val="0"/>
          <w:i w:val="0"/>
        </w:rPr>
        <w:t>8.5 These obligations survive for [3] years after termination, and indefinitely for trade secrets.</w:t>
      </w:r>
    </w:p>
    <w:p>
      <w:pPr>
        <w:pStyle w:val="Heading2"/>
      </w:pPr>
      <w:r>
        <w:t>9. Data protection</w:t>
      </w:r>
    </w:p>
    <w:p>
      <w:r>
        <w:rPr>
          <w:b w:val="0"/>
          <w:i w:val="0"/>
        </w:rPr>
        <w:t>Where Provider processes personal data on behalf of Customer, the Parties will execute the Data Processing Agreement in Appendix D, which governs that processing, including sub-processors, international transfers, assistance with data subject requests, and deletion or return of personal data at the end of services.</w:t>
      </w:r>
    </w:p>
    <w:p>
      <w:pPr>
        <w:pStyle w:val="Heading2"/>
      </w:pPr>
      <w:r>
        <w:t>10. Intellectual property</w:t>
      </w:r>
    </w:p>
    <w:p>
      <w:r>
        <w:rPr>
          <w:b w:val="0"/>
          <w:i w:val="0"/>
        </w:rPr>
        <w:t>Each Party retains its pre-existing intellectual property. Unless the SOW states otherwise, deliverables created specifically for Customer and paid for in full are assigned to Customer, and Provider grants Customer a licence to any Provider materials embedded in them.</w:t>
      </w:r>
    </w:p>
    <w:p>
      <w:pPr>
        <w:pStyle w:val="Heading2"/>
      </w:pPr>
      <w:r>
        <w:t>11. Warranties</w:t>
      </w:r>
    </w:p>
    <w:p>
      <w:r>
        <w:rPr>
          <w:b w:val="0"/>
          <w:i w:val="0"/>
        </w:rPr>
        <w:t>Each Party warrants it has authority to enter this Agreement. Provider warrants the services will be performed in a professional manner consistent with industry standards. Except as stated, all other warranties are disclaimed to the extent permitted by law.</w:t>
      </w:r>
    </w:p>
    <w:p>
      <w:pPr>
        <w:pStyle w:val="Heading2"/>
      </w:pPr>
      <w:r>
        <w:t>12. Indemnification</w:t>
      </w:r>
    </w:p>
    <w:p>
      <w:r>
        <w:rPr>
          <w:b w:val="0"/>
          <w:i w:val="0"/>
        </w:rPr>
        <w:t>Each Party will defend and indemnify the other against third-party claims arising from its gross negligence, wilful misconduct, breach of confidentiality or data protection obligations, or infringement of third-party intellectual property.</w:t>
      </w:r>
    </w:p>
    <w:p>
      <w:pPr>
        <w:pStyle w:val="Heading2"/>
      </w:pPr>
      <w:r>
        <w:t>13. Limitation of liability</w:t>
      </w:r>
    </w:p>
    <w:p>
      <w:r>
        <w:rPr>
          <w:b w:val="0"/>
          <w:i w:val="0"/>
        </w:rPr>
        <w:t>Neither Party is liable for indirect, incidental, special or consequential damages. Each Party's total liability is limited to the fees paid or payable in the [12] months before the claim, except for breaches of confidentiality, data protection or security obligations, indemnification obligations, and gross negligence or wilful misconduct, which are capped at [amount / multiple of fees].</w:t>
      </w:r>
    </w:p>
    <w:p>
      <w:pPr>
        <w:pStyle w:val="Heading2"/>
      </w:pPr>
      <w:r>
        <w:t>14. Insurance</w:t>
      </w:r>
    </w:p>
    <w:p>
      <w:r>
        <w:rPr>
          <w:b w:val="0"/>
          <w:i w:val="0"/>
        </w:rPr>
        <w:t>Provider will maintain commercial general liability, professional liability (errors and omissions) and cyber liability insurance with limits of at least [amounts] and provide certificates on request.</w:t>
      </w:r>
    </w:p>
    <w:p>
      <w:pPr>
        <w:pStyle w:val="Heading2"/>
      </w:pPr>
      <w:r>
        <w:t>15. Force majeure</w:t>
      </w:r>
    </w:p>
    <w:p>
      <w:r>
        <w:rPr>
          <w:b w:val="0"/>
          <w:i w:val="0"/>
        </w:rPr>
        <w:t>Neither Party is liable for delay caused by events beyond its reasonable control, provided it notifies the other Party promptly and uses reasonable efforts to resume performance. Force majeure does not excuse Provider from maintaining its business continuity and security obligations.</w:t>
      </w:r>
    </w:p>
    <w:p>
      <w:pPr>
        <w:pStyle w:val="Heading2"/>
      </w:pPr>
      <w:r>
        <w:t>16. General</w:t>
      </w:r>
    </w:p>
    <w:p>
      <w:r>
        <w:rPr>
          <w:b w:val="0"/>
          <w:i w:val="0"/>
        </w:rPr>
        <w:t>16.1 Entire agreement: this Agreement and its appendices are the entire agreement on its subject.</w:t>
      </w:r>
    </w:p>
    <w:p>
      <w:r>
        <w:rPr>
          <w:b w:val="0"/>
          <w:i w:val="0"/>
        </w:rPr>
        <w:t>16.2 Amendment: changes must be in writing signed by both Parties.</w:t>
      </w:r>
    </w:p>
    <w:p>
      <w:r>
        <w:rPr>
          <w:b w:val="0"/>
          <w:i w:val="0"/>
        </w:rPr>
        <w:t>16.3 Assignment: neither Party may assign without the other's prior written consent, except to a successor in a merger or sale of substantially all assets.</w:t>
      </w:r>
    </w:p>
    <w:p>
      <w:r>
        <w:rPr>
          <w:b w:val="0"/>
          <w:i w:val="0"/>
        </w:rPr>
        <w:t>16.4 Severability and waiver: an invalid provision is severed; failure to enforce is not a waiver.</w:t>
      </w:r>
    </w:p>
    <w:p>
      <w:r>
        <w:rPr>
          <w:b w:val="0"/>
          <w:i w:val="0"/>
        </w:rPr>
        <w:t>16.5 Notices: written notices go to the addresses below.</w:t>
      </w:r>
    </w:p>
    <w:p>
      <w:r>
        <w:rPr>
          <w:b w:val="0"/>
          <w:i w:val="0"/>
        </w:rPr>
        <w:t>16.6 Governing law: [Jurisdiction]; courts of [Venue] have exclusive jurisdiction.</w:t>
      </w:r>
    </w:p>
    <w:p>
      <w:r>
        <w:rPr>
          <w:b w:val="0"/>
          <w:i w:val="0"/>
        </w:rPr>
        <w:t>16.7 Non-disparagement: neither Party will publicly disparage the other.</w:t>
      </w:r>
    </w:p>
    <w:p>
      <w:pPr>
        <w:pStyle w:val="Heading2"/>
      </w:pPr>
      <w:r>
        <w:t>Notices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5B21B6"/>
          </w:tcPr>
          <w:p>
            <w:r>
              <w:rPr>
                <w:b/>
                <w:color w:val="FFFFFF"/>
                <w:sz w:val="19"/>
              </w:rPr>
            </w:r>
          </w:p>
        </w:tc>
        <w:tc>
          <w:tcPr>
            <w:tcW w:type="dxa" w:w="3249"/>
            <w:shd w:val="clear" w:color="auto" w:fill="5B21B6"/>
          </w:tcPr>
          <w:p>
            <w:r>
              <w:rPr>
                <w:b/>
                <w:color w:val="FFFFFF"/>
                <w:sz w:val="19"/>
              </w:rPr>
              <w:t>Provider</w:t>
            </w:r>
          </w:p>
        </w:tc>
        <w:tc>
          <w:tcPr>
            <w:tcW w:type="dxa" w:w="3249"/>
            <w:shd w:val="clear" w:color="auto" w:fill="5B21B6"/>
          </w:tcPr>
          <w:p>
            <w:r>
              <w:rPr>
                <w:b/>
                <w:color w:val="FFFFFF"/>
                <w:sz w:val="19"/>
              </w:rPr>
              <w:t>Customer</w:t>
            </w:r>
          </w:p>
        </w:tc>
      </w:tr>
      <w:tr>
        <w:tc>
          <w:tcPr>
            <w:tcW w:type="dxa" w:w="3249"/>
          </w:tcPr>
          <w:p>
            <w:r>
              <w:t>Attention (role)</w:t>
            </w:r>
          </w:p>
        </w:tc>
        <w:tc>
          <w:tcPr>
            <w:tcW w:type="dxa" w:w="3249"/>
          </w:tcPr>
          <w:p>
            <w:r/>
          </w:p>
        </w:tc>
        <w:tc>
          <w:tcPr>
            <w:tcW w:type="dxa" w:w="3249"/>
          </w:tcPr>
          <w:p>
            <w:r/>
          </w:p>
        </w:tc>
      </w:tr>
      <w:tr>
        <w:tc>
          <w:tcPr>
            <w:tcW w:type="dxa" w:w="3249"/>
          </w:tcPr>
          <w:p>
            <w:r>
              <w:t>Address</w:t>
            </w:r>
          </w:p>
        </w:tc>
        <w:tc>
          <w:tcPr>
            <w:tcW w:type="dxa" w:w="3249"/>
          </w:tcPr>
          <w:p>
            <w:r/>
          </w:p>
        </w:tc>
        <w:tc>
          <w:tcPr>
            <w:tcW w:type="dxa" w:w="3249"/>
          </w:tcPr>
          <w:p>
            <w:r/>
          </w:p>
        </w:tc>
      </w:tr>
      <w:tr>
        <w:tc>
          <w:tcPr>
            <w:tcW w:type="dxa" w:w="3249"/>
          </w:tcPr>
          <w:p>
            <w:r>
              <w:t>Email</w:t>
            </w:r>
          </w:p>
        </w:tc>
        <w:tc>
          <w:tcPr>
            <w:tcW w:type="dxa" w:w="3249"/>
          </w:tcPr>
          <w:p>
            <w:r/>
          </w:p>
        </w:tc>
        <w:tc>
          <w:tcPr>
            <w:tcW w:type="dxa" w:w="3249"/>
          </w:tcPr>
          <w:p>
            <w:r/>
          </w:p>
        </w:tc>
      </w:tr>
    </w:tbl>
    <w:p/>
    <w:p>
      <w:pPr>
        <w:pStyle w:val="Heading2"/>
      </w:pPr>
      <w:r>
        <w:t>Signatures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5B21B6"/>
          </w:tcPr>
          <w:p>
            <w:r>
              <w:rPr>
                <w:b/>
                <w:color w:val="FFFFFF"/>
                <w:sz w:val="19"/>
              </w:rPr>
            </w:r>
          </w:p>
        </w:tc>
        <w:tc>
          <w:tcPr>
            <w:tcW w:type="dxa" w:w="3249"/>
            <w:shd w:val="clear" w:color="auto" w:fill="5B21B6"/>
          </w:tcPr>
          <w:p>
            <w:r>
              <w:rPr>
                <w:b/>
                <w:color w:val="FFFFFF"/>
                <w:sz w:val="19"/>
              </w:rPr>
              <w:t>Provider</w:t>
            </w:r>
          </w:p>
        </w:tc>
        <w:tc>
          <w:tcPr>
            <w:tcW w:type="dxa" w:w="3249"/>
            <w:shd w:val="clear" w:color="auto" w:fill="5B21B6"/>
          </w:tcPr>
          <w:p>
            <w:r>
              <w:rPr>
                <w:b/>
                <w:color w:val="FFFFFF"/>
                <w:sz w:val="19"/>
              </w:rPr>
              <w:t>Customer</w:t>
            </w:r>
          </w:p>
        </w:tc>
      </w:tr>
      <w:tr>
        <w:tc>
          <w:tcPr>
            <w:tcW w:type="dxa" w:w="3249"/>
          </w:tcPr>
          <w:p>
            <w:r>
              <w:t>Signature</w:t>
            </w:r>
          </w:p>
        </w:tc>
        <w:tc>
          <w:tcPr>
            <w:tcW w:type="dxa" w:w="3249"/>
          </w:tcPr>
          <w:p>
            <w:r/>
          </w:p>
        </w:tc>
        <w:tc>
          <w:tcPr>
            <w:tcW w:type="dxa" w:w="3249"/>
          </w:tcPr>
          <w:p>
            <w:r/>
          </w:p>
        </w:tc>
      </w:tr>
      <w:tr>
        <w:tc>
          <w:tcPr>
            <w:tcW w:type="dxa" w:w="3249"/>
          </w:tcPr>
          <w:p>
            <w:r>
              <w:t>Name</w:t>
            </w:r>
          </w:p>
        </w:tc>
        <w:tc>
          <w:tcPr>
            <w:tcW w:type="dxa" w:w="3249"/>
          </w:tcPr>
          <w:p>
            <w:r/>
          </w:p>
        </w:tc>
        <w:tc>
          <w:tcPr>
            <w:tcW w:type="dxa" w:w="3249"/>
          </w:tcPr>
          <w:p>
            <w:r/>
          </w:p>
        </w:tc>
      </w:tr>
      <w:tr>
        <w:tc>
          <w:tcPr>
            <w:tcW w:type="dxa" w:w="3249"/>
          </w:tcPr>
          <w:p>
            <w:r>
              <w:t>Title</w:t>
            </w:r>
          </w:p>
        </w:tc>
        <w:tc>
          <w:tcPr>
            <w:tcW w:type="dxa" w:w="3249"/>
          </w:tcPr>
          <w:p>
            <w:r/>
          </w:p>
        </w:tc>
        <w:tc>
          <w:tcPr>
            <w:tcW w:type="dxa" w:w="3249"/>
          </w:tcPr>
          <w:p>
            <w:r/>
          </w:p>
        </w:tc>
      </w:tr>
      <w:tr>
        <w:tc>
          <w:tcPr>
            <w:tcW w:type="dxa" w:w="3249"/>
          </w:tcPr>
          <w:p>
            <w:r>
              <w:t>Date</w:t>
            </w:r>
          </w:p>
        </w:tc>
        <w:tc>
          <w:tcPr>
            <w:tcW w:type="dxa" w:w="3249"/>
          </w:tcPr>
          <w:p>
            <w:r/>
          </w:p>
        </w:tc>
        <w:tc>
          <w:tcPr>
            <w:tcW w:type="dxa" w:w="3249"/>
          </w:tcPr>
          <w:p>
            <w:r/>
          </w:p>
        </w:tc>
      </w:tr>
    </w:tbl>
    <w:p/>
    <w:p>
      <w:pPr>
        <w:pStyle w:val="Heading2"/>
      </w:pPr>
      <w:r>
        <w:t>Appendix A: Statement of Work</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SOW number</w:t>
            </w:r>
          </w:p>
        </w:tc>
        <w:tc>
          <w:tcPr>
            <w:tcW w:type="dxa" w:w="6236"/>
          </w:tcPr>
          <w:p>
            <w:r/>
          </w:p>
        </w:tc>
      </w:tr>
      <w:tr>
        <w:tc>
          <w:tcPr>
            <w:tcW w:type="dxa" w:w="2835"/>
            <w:shd w:val="clear" w:color="auto" w:fill="EDE9FE"/>
          </w:tcPr>
          <w:p>
            <w:r>
              <w:rPr>
                <w:b/>
              </w:rPr>
              <w:t>Services description</w:t>
            </w:r>
          </w:p>
        </w:tc>
        <w:tc>
          <w:tcPr>
            <w:tcW w:type="dxa" w:w="6236"/>
          </w:tcPr>
          <w:p>
            <w:r/>
          </w:p>
        </w:tc>
      </w:tr>
      <w:tr>
        <w:tc>
          <w:tcPr>
            <w:tcW w:type="dxa" w:w="2835"/>
            <w:shd w:val="clear" w:color="auto" w:fill="EDE9FE"/>
          </w:tcPr>
          <w:p>
            <w:r>
              <w:rPr>
                <w:b/>
              </w:rPr>
              <w:t>Deliverables</w:t>
            </w:r>
          </w:p>
        </w:tc>
        <w:tc>
          <w:tcPr>
            <w:tcW w:type="dxa" w:w="6236"/>
          </w:tcPr>
          <w:p>
            <w:r/>
          </w:p>
        </w:tc>
      </w:tr>
      <w:tr>
        <w:tc>
          <w:tcPr>
            <w:tcW w:type="dxa" w:w="2835"/>
            <w:shd w:val="clear" w:color="auto" w:fill="EDE9FE"/>
          </w:tcPr>
          <w:p>
            <w:r>
              <w:rPr>
                <w:b/>
              </w:rPr>
              <w:t>Timeline / milestones</w:t>
            </w:r>
          </w:p>
        </w:tc>
        <w:tc>
          <w:tcPr>
            <w:tcW w:type="dxa" w:w="6236"/>
          </w:tcPr>
          <w:p>
            <w:r/>
          </w:p>
        </w:tc>
      </w:tr>
      <w:tr>
        <w:tc>
          <w:tcPr>
            <w:tcW w:type="dxa" w:w="2835"/>
            <w:shd w:val="clear" w:color="auto" w:fill="EDE9FE"/>
          </w:tcPr>
          <w:p>
            <w:r>
              <w:rPr>
                <w:b/>
              </w:rPr>
              <w:t>Assumptions and dependencies</w:t>
            </w:r>
          </w:p>
        </w:tc>
        <w:tc>
          <w:tcPr>
            <w:tcW w:type="dxa" w:w="6236"/>
          </w:tcPr>
          <w:p>
            <w:r/>
          </w:p>
        </w:tc>
      </w:tr>
      <w:tr>
        <w:tc>
          <w:tcPr>
            <w:tcW w:type="dxa" w:w="2835"/>
            <w:shd w:val="clear" w:color="auto" w:fill="EDE9FE"/>
          </w:tcPr>
          <w:p>
            <w:r>
              <w:rPr>
                <w:b/>
              </w:rPr>
              <w:t>Acceptance criteria</w:t>
            </w:r>
          </w:p>
        </w:tc>
        <w:tc>
          <w:tcPr>
            <w:tcW w:type="dxa" w:w="6236"/>
          </w:tcPr>
          <w:p>
            <w:r/>
          </w:p>
        </w:tc>
      </w:tr>
    </w:tbl>
    <w:p/>
    <w:p>
      <w:pPr>
        <w:pStyle w:val="Heading2"/>
      </w:pPr>
      <w:r>
        <w:t>Appendix B: Fees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5B21B6"/>
          </w:tcPr>
          <w:p>
            <w:r>
              <w:rPr>
                <w:b/>
                <w:color w:val="FFFFFF"/>
                <w:sz w:val="19"/>
              </w:rPr>
              <w:t>Service / deliverable</w:t>
            </w:r>
          </w:p>
        </w:tc>
        <w:tc>
          <w:tcPr>
            <w:tcW w:type="dxa" w:w="2436"/>
            <w:shd w:val="clear" w:color="auto" w:fill="5B21B6"/>
          </w:tcPr>
          <w:p>
            <w:r>
              <w:rPr>
                <w:b/>
                <w:color w:val="FFFFFF"/>
                <w:sz w:val="19"/>
              </w:rPr>
              <w:t>Pricing model</w:t>
            </w:r>
          </w:p>
        </w:tc>
        <w:tc>
          <w:tcPr>
            <w:tcW w:type="dxa" w:w="2436"/>
            <w:shd w:val="clear" w:color="auto" w:fill="5B21B6"/>
          </w:tcPr>
          <w:p>
            <w:r>
              <w:rPr>
                <w:b/>
                <w:color w:val="FFFFFF"/>
                <w:sz w:val="19"/>
              </w:rPr>
              <w:t>Rate / fee</w:t>
            </w:r>
          </w:p>
        </w:tc>
        <w:tc>
          <w:tcPr>
            <w:tcW w:type="dxa" w:w="2436"/>
            <w:shd w:val="clear" w:color="auto" w:fill="5B21B6"/>
          </w:tcPr>
          <w:p>
            <w:r>
              <w:rPr>
                <w:b/>
                <w:color w:val="FFFFFF"/>
                <w:sz w:val="19"/>
              </w:rPr>
              <w:t>Billing frequency</w:t>
            </w:r>
          </w:p>
        </w:tc>
      </w:tr>
      <w:tr>
        <w:tc>
          <w:tcPr>
            <w:tcW w:type="dxa" w:w="2436"/>
          </w:tcPr>
          <w:p>
            <w:r/>
          </w:p>
        </w:tc>
        <w:tc>
          <w:tcPr>
            <w:tcW w:type="dxa" w:w="2436"/>
          </w:tcPr>
          <w:p>
            <w:r/>
          </w:p>
        </w:tc>
        <w:tc>
          <w:tcPr>
            <w:tcW w:type="dxa" w:w="2436"/>
          </w:tcPr>
          <w:p>
            <w:r/>
          </w:p>
        </w:tc>
        <w:tc>
          <w:tcPr>
            <w:tcW w:type="dxa" w:w="2436"/>
          </w:tcPr>
          <w:p>
            <w:r/>
          </w:p>
        </w:tc>
      </w:tr>
      <w:tr>
        <w:tc>
          <w:tcPr>
            <w:tcW w:type="dxa" w:w="2436"/>
          </w:tcPr>
          <w:p>
            <w:r/>
          </w:p>
        </w:tc>
        <w:tc>
          <w:tcPr>
            <w:tcW w:type="dxa" w:w="2436"/>
          </w:tcPr>
          <w:p>
            <w:r/>
          </w:p>
        </w:tc>
        <w:tc>
          <w:tcPr>
            <w:tcW w:type="dxa" w:w="2436"/>
          </w:tcPr>
          <w:p>
            <w:r/>
          </w:p>
        </w:tc>
        <w:tc>
          <w:tcPr>
            <w:tcW w:type="dxa" w:w="2436"/>
          </w:tcPr>
          <w:p>
            <w:r/>
          </w:p>
        </w:tc>
      </w:tr>
      <w:tr>
        <w:tc>
          <w:tcPr>
            <w:tcW w:type="dxa" w:w="2436"/>
          </w:tcPr>
          <w:p>
            <w:r/>
          </w:p>
        </w:tc>
        <w:tc>
          <w:tcPr>
            <w:tcW w:type="dxa" w:w="2436"/>
          </w:tcPr>
          <w:p>
            <w:r/>
          </w:p>
        </w:tc>
        <w:tc>
          <w:tcPr>
            <w:tcW w:type="dxa" w:w="2436"/>
          </w:tcPr>
          <w:p>
            <w:r/>
          </w:p>
        </w:tc>
        <w:tc>
          <w:tcPr>
            <w:tcW w:type="dxa" w:w="2436"/>
          </w:tcPr>
          <w:p>
            <w:r/>
          </w:p>
        </w:tc>
      </w:tr>
    </w:tbl>
    <w:p/>
    <w:p>
      <w:pPr>
        <w:pStyle w:val="Heading2"/>
      </w:pPr>
      <w:r>
        <w:t>Appendix C: Service Level Agreement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5B21B6"/>
          </w:tcPr>
          <w:p>
            <w:r>
              <w:rPr>
                <w:b/>
                <w:color w:val="FFFFFF"/>
                <w:sz w:val="19"/>
              </w:rPr>
              <w:t>Metric</w:t>
            </w:r>
          </w:p>
        </w:tc>
        <w:tc>
          <w:tcPr>
            <w:tcW w:type="dxa" w:w="2436"/>
            <w:shd w:val="clear" w:color="auto" w:fill="5B21B6"/>
          </w:tcPr>
          <w:p>
            <w:r>
              <w:rPr>
                <w:b/>
                <w:color w:val="FFFFFF"/>
                <w:sz w:val="19"/>
              </w:rPr>
              <w:t>Target</w:t>
            </w:r>
          </w:p>
        </w:tc>
        <w:tc>
          <w:tcPr>
            <w:tcW w:type="dxa" w:w="2436"/>
            <w:shd w:val="clear" w:color="auto" w:fill="5B21B6"/>
          </w:tcPr>
          <w:p>
            <w:r>
              <w:rPr>
                <w:b/>
                <w:color w:val="FFFFFF"/>
                <w:sz w:val="19"/>
              </w:rPr>
              <w:t>Measurement</w:t>
            </w:r>
          </w:p>
        </w:tc>
        <w:tc>
          <w:tcPr>
            <w:tcW w:type="dxa" w:w="2436"/>
            <w:shd w:val="clear" w:color="auto" w:fill="5B21B6"/>
          </w:tcPr>
          <w:p>
            <w:r>
              <w:rPr>
                <w:b/>
                <w:color w:val="FFFFFF"/>
                <w:sz w:val="19"/>
              </w:rPr>
              <w:t>Service credit</w:t>
            </w:r>
          </w:p>
        </w:tc>
      </w:tr>
      <w:tr>
        <w:tc>
          <w:tcPr>
            <w:tcW w:type="dxa" w:w="2436"/>
          </w:tcPr>
          <w:p>
            <w:r>
              <w:t>Availability</w:t>
            </w:r>
          </w:p>
        </w:tc>
        <w:tc>
          <w:tcPr>
            <w:tcW w:type="dxa" w:w="2436"/>
          </w:tcPr>
          <w:p>
            <w:r>
              <w:t>[99.9%] monthly</w:t>
            </w:r>
          </w:p>
        </w:tc>
        <w:tc>
          <w:tcPr>
            <w:tcW w:type="dxa" w:w="2436"/>
          </w:tcPr>
          <w:p>
            <w:r/>
          </w:p>
        </w:tc>
        <w:tc>
          <w:tcPr>
            <w:tcW w:type="dxa" w:w="2436"/>
          </w:tcPr>
          <w:p>
            <w:r/>
          </w:p>
        </w:tc>
      </w:tr>
      <w:tr>
        <w:tc>
          <w:tcPr>
            <w:tcW w:type="dxa" w:w="2436"/>
          </w:tcPr>
          <w:p>
            <w:r>
              <w:t>Support response (P1)</w:t>
            </w:r>
          </w:p>
        </w:tc>
        <w:tc>
          <w:tcPr>
            <w:tcW w:type="dxa" w:w="2436"/>
          </w:tcPr>
          <w:p>
            <w:r>
              <w:t>[1 hour]</w:t>
            </w:r>
          </w:p>
        </w:tc>
        <w:tc>
          <w:tcPr>
            <w:tcW w:type="dxa" w:w="2436"/>
          </w:tcPr>
          <w:p>
            <w:r/>
          </w:p>
        </w:tc>
        <w:tc>
          <w:tcPr>
            <w:tcW w:type="dxa" w:w="2436"/>
          </w:tcPr>
          <w:p>
            <w:r/>
          </w:p>
        </w:tc>
      </w:tr>
      <w:tr>
        <w:tc>
          <w:tcPr>
            <w:tcW w:type="dxa" w:w="2436"/>
          </w:tcPr>
          <w:p>
            <w:r>
              <w:t>Support response (P2)</w:t>
            </w:r>
          </w:p>
        </w:tc>
        <w:tc>
          <w:tcPr>
            <w:tcW w:type="dxa" w:w="2436"/>
          </w:tcPr>
          <w:p>
            <w:r>
              <w:t>[4 hours]</w:t>
            </w:r>
          </w:p>
        </w:tc>
        <w:tc>
          <w:tcPr>
            <w:tcW w:type="dxa" w:w="2436"/>
          </w:tcPr>
          <w:p>
            <w:r/>
          </w:p>
        </w:tc>
        <w:tc>
          <w:tcPr>
            <w:tcW w:type="dxa" w:w="2436"/>
          </w:tcPr>
          <w:p>
            <w:r/>
          </w:p>
        </w:tc>
      </w:tr>
      <w:tr>
        <w:tc>
          <w:tcPr>
            <w:tcW w:type="dxa" w:w="2436"/>
          </w:tcPr>
          <w:p>
            <w:r>
              <w:t>Support response (P3)</w:t>
            </w:r>
          </w:p>
        </w:tc>
        <w:tc>
          <w:tcPr>
            <w:tcW w:type="dxa" w:w="2436"/>
          </w:tcPr>
          <w:p>
            <w:r>
              <w:t>[1 business day]</w:t>
            </w:r>
          </w:p>
        </w:tc>
        <w:tc>
          <w:tcPr>
            <w:tcW w:type="dxa" w:w="2436"/>
          </w:tcPr>
          <w:p>
            <w:r/>
          </w:p>
        </w:tc>
        <w:tc>
          <w:tcPr>
            <w:tcW w:type="dxa" w:w="2436"/>
          </w:tcPr>
          <w:p>
            <w:r/>
          </w:p>
        </w:tc>
      </w:tr>
    </w:tbl>
    <w:p/>
    <w:p>
      <w:pPr>
        <w:pStyle w:val="Heading2"/>
      </w:pPr>
      <w:r>
        <w:t>Appendix D: Data Processing Agreement</w:t>
      </w:r>
    </w:p>
    <w:p>
      <w:r>
        <w:rPr>
          <w:b w:val="0"/>
          <w:i/>
        </w:rPr>
        <w:t>[Attach or reference the executed DPA.]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Template provided by OneLens by Ruchi. Replace all [bracketed] fields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subject/>
  <dc:creator/>
  <cp:keywords/>
  <dc:description/>
  <cp:lastModifiedBy/>
  <cp:revision>1</cp:revision>
  <dcterms:created xsi:type="dcterms:W3CDTF">2013-12-23T23:15:00Z</dcterms:created>
  <dcterms:modified xsi:type="dcterms:W3CDTF">2013-12-23T23:15:00Z</dcterms:modified>
  <cp:category/>
</cp:coreProperties>
</file>