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Supervisory Authority Cooperation Procedure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how the organisation cooperates with supervisory authorities.</w:t>
      </w:r>
    </w:p>
    <w:p>
      <w:pPr>
        <w:pStyle w:val="Heading1"/>
      </w:pPr>
      <w:r>
        <w:t>2. Scope</w:t>
      </w:r>
    </w:p>
    <w:p>
      <w:r>
        <w:t>Requests and inspections from data protection authorities.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Route all regulator contact to the DPO/Privacy Officer.</w:t>
      </w:r>
    </w:p>
    <w:p>
      <w:pPr>
        <w:ind w:left="340" w:hanging="340"/>
      </w:pPr>
      <w:r>
        <w:t>2. Acknowledge within [2] business days.</w:t>
      </w:r>
    </w:p>
    <w:p>
      <w:pPr>
        <w:ind w:left="340" w:hanging="340"/>
      </w:pPr>
      <w:r>
        <w:t>3. Gather requested records (ROPA, DPIAs, policies).</w:t>
      </w:r>
    </w:p>
    <w:p>
      <w:pPr>
        <w:ind w:left="340" w:hanging="340"/>
      </w:pPr>
      <w:r>
        <w:t>4. Respond by the deadline with Legal review.</w:t>
      </w:r>
    </w:p>
    <w:p>
      <w:pPr>
        <w:ind w:left="340" w:hanging="340"/>
      </w:pPr>
      <w:r>
        <w:t>5. Log all correspondence.</w:t>
      </w:r>
    </w:p>
    <w:p>
      <w:pPr>
        <w:pStyle w:val="Heading1"/>
      </w:pPr>
      <w:r>
        <w:t>5. Frequency and timing</w:t>
      </w:r>
    </w:p>
    <w:p>
      <w:r>
        <w:t>Each request.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Correspondence log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31, 58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Supervisory Authority Cooperation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