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Business Associate Agreement Template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Business Associate Agreement setting HIPAA obligations for a business associate handling PHI.</w:t>
      </w:r>
    </w:p>
    <w:p>
      <w:pPr>
        <w:pStyle w:val="Heading1"/>
      </w:pPr>
      <w:r>
        <w:t>2. Scope</w:t>
      </w:r>
    </w:p>
    <w:p>
      <w:r>
        <w:t>Arrangements where a business associate creates, receives, maintains or transmits PHI.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Executes BAAs.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Tracks BAAs.</w:t>
            </w:r>
          </w:p>
        </w:tc>
      </w:tr>
    </w:tbl>
    <w:p/>
    <w:p>
      <w:pPr>
        <w:pStyle w:val="Heading1"/>
      </w:pPr>
      <w:r>
        <w:t>4. Required provisions (164.504(e))</w:t>
      </w:r>
    </w:p>
    <w:p>
      <w:pPr>
        <w:pStyle w:val="ListBullet"/>
      </w:pPr>
      <w:r>
        <w:t>Permitted and required uses and disclosures of PHI.</w:t>
      </w:r>
    </w:p>
    <w:p>
      <w:pPr>
        <w:pStyle w:val="ListBullet"/>
      </w:pPr>
      <w:r>
        <w:t>Business associate will not use or disclose PHI other than as permitted.</w:t>
      </w:r>
    </w:p>
    <w:p>
      <w:pPr>
        <w:pStyle w:val="ListBullet"/>
      </w:pPr>
      <w:r>
        <w:t>Implement Security Rule safeguards for ePHI.</w:t>
      </w:r>
    </w:p>
    <w:p>
      <w:pPr>
        <w:pStyle w:val="ListBullet"/>
      </w:pPr>
      <w:r>
        <w:t>Report uses or disclosures not provided for, security incidents and breaches of unsecured PHI within [x] days.</w:t>
      </w:r>
    </w:p>
    <w:p>
      <w:pPr>
        <w:pStyle w:val="ListBullet"/>
      </w:pPr>
      <w:r>
        <w:t>Ensure subcontractors agree to the same restrictions (subcontractor BAA).</w:t>
      </w:r>
    </w:p>
    <w:p>
      <w:pPr>
        <w:pStyle w:val="ListBullet"/>
      </w:pPr>
      <w:r>
        <w:t>Make PHI available for access, amendment and accounting of disclosures.</w:t>
      </w:r>
    </w:p>
    <w:p>
      <w:pPr>
        <w:pStyle w:val="ListBullet"/>
      </w:pPr>
      <w:r>
        <w:t>Make books and records available to HHS.</w:t>
      </w:r>
    </w:p>
    <w:p>
      <w:pPr>
        <w:pStyle w:val="ListBullet"/>
      </w:pPr>
      <w:r>
        <w:t>Return or destroy PHI at termination where feasible.</w:t>
      </w:r>
    </w:p>
    <w:p>
      <w:pPr>
        <w:pStyle w:val="ListBullet"/>
      </w:pPr>
      <w:r>
        <w:t>Authorise termination if the business associate violates a material term.</w:t>
      </w:r>
    </w:p>
    <w:p>
      <w:pPr>
        <w:pStyle w:val="Heading1"/>
      </w:pPr>
      <w:r>
        <w:t>5. Frequency and timing</w:t>
      </w:r>
    </w:p>
    <w:p>
      <w:r>
        <w:t>Before PHI is shared; reviewed on renewal.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Executed BAAs for all business associates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164.308(b), 164.314(a), 164.504(e)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Associate Agreement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