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DPF Contact Designation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Designates the contact for DPF complaints and inquiries.</w:t>
      </w:r>
    </w:p>
    <w:p>
      <w:pPr>
        <w:pStyle w:val="Heading1"/>
      </w:pPr>
      <w:r>
        <w:t>2. Scope</w:t>
      </w:r>
    </w:p>
    <w:p>
      <w:r>
        <w:t>DPF participation.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 / DPO</w:t>
            </w:r>
          </w:p>
        </w:tc>
        <w:tc>
          <w:tcPr>
            <w:tcW w:type="dxa" w:w="4873"/>
          </w:tcPr>
          <w:p>
            <w:r>
              <w:t>Owns the record and advises.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Reviews legal positions.</w:t>
            </w:r>
          </w:p>
        </w:tc>
      </w:tr>
    </w:tbl>
    <w:p/>
    <w:p>
      <w:pPr>
        <w:pStyle w:val="Heading1"/>
      </w:pPr>
      <w:r>
        <w:t>4. Designation</w:t>
      </w:r>
    </w:p>
    <w:p>
      <w:pPr>
        <w:pStyle w:val="ListBullet"/>
      </w:pPr>
      <w:r>
        <w:t>Designated contact (role): [ ]</w:t>
      </w:r>
    </w:p>
    <w:p>
      <w:pPr>
        <w:pStyle w:val="ListBullet"/>
      </w:pPr>
      <w:r>
        <w:t>Contact channel: [email / address]</w:t>
      </w:r>
    </w:p>
    <w:p>
      <w:pPr>
        <w:pStyle w:val="ListBullet"/>
      </w:pPr>
      <w:r>
        <w:t>Response time to complaints: 45 days.</w:t>
      </w:r>
    </w:p>
    <w:p>
      <w:pPr>
        <w:pStyle w:val="ListBullet"/>
      </w:pPr>
      <w:r>
        <w:t>Published in the privacy policy.</w:t>
      </w:r>
    </w:p>
    <w:p>
      <w:pPr>
        <w:pStyle w:val="Heading1"/>
      </w:pPr>
      <w:r>
        <w:t>5. Frequency and timing</w:t>
      </w:r>
    </w:p>
    <w:p>
      <w:r>
        <w:t>On change.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Designation record</w:t>
      </w:r>
    </w:p>
    <w:p>
      <w:r>
        <w:t>☐  Privacy policy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DPF Principles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DPF Contact Designation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