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EU Representative Appointment Letter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Appoints an EU representative where the organisation has no EU establishment.</w:t>
      </w:r>
    </w:p>
    <w:p>
      <w:pPr>
        <w:pStyle w:val="Heading1"/>
      </w:pPr>
      <w:r>
        <w:t>2. Scope</w:t>
      </w:r>
    </w:p>
    <w:p>
      <w:r>
        <w:t>Non-EU organisations subject to GDPR under Art. 3(2).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Appointment letter</w:t>
      </w:r>
    </w:p>
    <w:p>
      <w:pPr>
        <w:pStyle w:val="ListBullet"/>
      </w:pPr>
      <w:r>
        <w:t>[Organisation Name] appoints [Representative] as its representative in the Union under Art. 27 GDPR.</w:t>
      </w:r>
    </w:p>
    <w:p>
      <w:pPr>
        <w:pStyle w:val="ListBullet"/>
      </w:pPr>
      <w:r>
        <w:t>Mandate: act as contact point for authorities and data subjects; maintain the ROPA copy; cooperate with authorities.</w:t>
      </w:r>
    </w:p>
    <w:p>
      <w:pPr>
        <w:pStyle w:val="ListBullet"/>
      </w:pPr>
      <w:r>
        <w:t>Representative details published in privacy notice.</w:t>
      </w:r>
    </w:p>
    <w:p>
      <w:pPr>
        <w:pStyle w:val="ListBullet"/>
      </w:pPr>
      <w:r>
        <w:t>Signed by both parties with date.</w:t>
      </w:r>
    </w:p>
    <w:p>
      <w:pPr>
        <w:pStyle w:val="Heading1"/>
      </w:pPr>
      <w:r>
        <w:t>5. Frequency and timing</w:t>
      </w:r>
    </w:p>
    <w:p>
      <w:r>
        <w:t>On appointment; 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mandate</w:t>
      </w:r>
    </w:p>
    <w:p>
      <w:r>
        <w:t>☐  Privacy notice listing representative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27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 Representative Appointment Letter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