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GDPR Compliance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Describes how [Organisation Name] meets GDPR principles, lawful bases, data subject rights and accountability duties.</w:t>
      </w:r>
    </w:p>
    <w:p>
      <w:pPr>
        <w:pStyle w:val="Heading1"/>
      </w:pPr>
      <w:r>
        <w:t>2. Scope</w:t>
      </w:r>
    </w:p>
    <w:p>
      <w:r>
        <w:t>All processing of personal data of individuals in the EU/EEA and UK.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DPO / Privacy Officer</w:t>
            </w:r>
          </w:p>
        </w:tc>
        <w:tc>
          <w:tcPr>
            <w:tcW w:type="dxa" w:w="4873"/>
          </w:tcPr>
          <w:p>
            <w:r>
              <w:t>Monitors compliance and advises.</w:t>
            </w:r>
          </w:p>
        </w:tc>
      </w:tr>
      <w:tr>
        <w:tc>
          <w:tcPr>
            <w:tcW w:type="dxa" w:w="4873"/>
          </w:tcPr>
          <w:p>
            <w:r>
              <w:t>Data Owners</w:t>
            </w:r>
          </w:p>
        </w:tc>
        <w:tc>
          <w:tcPr>
            <w:tcW w:type="dxa" w:w="4873"/>
          </w:tcPr>
          <w:p>
            <w:r>
              <w:t>Ensure processing in their area complies.</w:t>
            </w:r>
          </w:p>
        </w:tc>
      </w:tr>
      <w:tr>
        <w:tc>
          <w:tcPr>
            <w:tcW w:type="dxa" w:w="4873"/>
          </w:tcPr>
          <w:p>
            <w:r>
              <w:t>All personnel</w:t>
            </w:r>
          </w:p>
        </w:tc>
        <w:tc>
          <w:tcPr>
            <w:tcW w:type="dxa" w:w="4873"/>
          </w:tcPr>
          <w:p>
            <w:r>
              <w:t>Handle personal data per this policy.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Personal data is processed lawfully, fairly and transparently, for specified purposes, minimised, accurate, retained no longer than needed, and secured (Art. 5).</w:t>
      </w:r>
    </w:p>
    <w:p>
      <w:pPr>
        <w:pStyle w:val="ListBullet"/>
      </w:pPr>
      <w:r>
        <w:t>Each processing activity has a documented lawful basis in the Records of Processing (Art. 30).</w:t>
      </w:r>
    </w:p>
    <w:p>
      <w:pPr>
        <w:pStyle w:val="ListBullet"/>
      </w:pPr>
      <w:r>
        <w:t>Privacy notices are provided at collection (Art. 13, 14).</w:t>
      </w:r>
    </w:p>
    <w:p>
      <w:pPr>
        <w:pStyle w:val="ListBullet"/>
      </w:pPr>
      <w:r>
        <w:t>Data subject requests are handled within one month (Art. 12 to 22).</w:t>
      </w:r>
    </w:p>
    <w:p>
      <w:pPr>
        <w:pStyle w:val="ListBullet"/>
      </w:pPr>
      <w:r>
        <w:t>DPIAs are performed for high-risk processing (Art. 35).</w:t>
      </w:r>
    </w:p>
    <w:p>
      <w:pPr>
        <w:pStyle w:val="ListBullet"/>
      </w:pPr>
      <w:r>
        <w:t>Processors are bound by DPAs (Art. 28).</w:t>
      </w:r>
    </w:p>
    <w:p>
      <w:pPr>
        <w:pStyle w:val="ListBullet"/>
      </w:pPr>
      <w:r>
        <w:t>International transfers use adequacy, SCCs or the DPF (Chapter V).</w:t>
      </w:r>
    </w:p>
    <w:p>
      <w:pPr>
        <w:pStyle w:val="ListBullet"/>
      </w:pPr>
      <w:r>
        <w:t>Personal data breaches are handled per the Incident Response Plan GDPR addendum (Art. 33, 34).</w:t>
      </w:r>
    </w:p>
    <w:p>
      <w:pPr>
        <w:pStyle w:val="ListBullet"/>
      </w:pPr>
      <w:r>
        <w:t>Privacy by design and default is applied to new systems (Art. 25).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ROPA</w:t>
      </w:r>
    </w:p>
    <w:p>
      <w:r>
        <w:t>☐  DPIAs</w:t>
      </w:r>
    </w:p>
    <w:p>
      <w:r>
        <w:t>☐  DSAR log</w:t>
      </w:r>
    </w:p>
    <w:p>
      <w:r>
        <w:t>☐  DPAs</w:t>
      </w:r>
    </w:p>
    <w:p>
      <w:r>
        <w:t>☐  Transfer mechanisms</w:t>
      </w:r>
    </w:p>
    <w:p>
      <w:r>
        <w:t>☐  Breach register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5, 6, 12 to 22, 24, 25, 28, 30, 32 to 35, 44 to 49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GDPR Compliance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