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HIPAA Privacy Policy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Defines permitted uses and disclosures of PHI and how individual rights are honoured under the HIPAA Privacy Rule.</w:t>
      </w:r>
    </w:p>
    <w:p>
      <w:pPr>
        <w:pStyle w:val="Heading1"/>
      </w:pPr>
      <w:r>
        <w:t>2. Scope</w:t>
      </w:r>
    </w:p>
    <w:p>
      <w:r>
        <w:t>All PHI in any form handled by [Organisation Name].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</w:t>
            </w:r>
          </w:p>
        </w:tc>
        <w:tc>
          <w:tcPr>
            <w:tcW w:type="dxa" w:w="4873"/>
          </w:tcPr>
          <w:p>
            <w:r>
              <w:t>Owns the policy and handles complaints.</w:t>
            </w:r>
          </w:p>
        </w:tc>
      </w:tr>
      <w:tr>
        <w:tc>
          <w:tcPr>
            <w:tcW w:type="dxa" w:w="4873"/>
          </w:tcPr>
          <w:p>
            <w:r>
              <w:t>Workforce</w:t>
            </w:r>
          </w:p>
        </w:tc>
        <w:tc>
          <w:tcPr>
            <w:tcW w:type="dxa" w:w="4873"/>
          </w:tcPr>
          <w:p>
            <w:r>
              <w:t>Use and disclose PHI only as permitted.</w:t>
            </w:r>
          </w:p>
        </w:tc>
      </w:tr>
    </w:tbl>
    <w:p/>
    <w:p>
      <w:pPr>
        <w:pStyle w:val="Heading1"/>
      </w:pPr>
      <w:r>
        <w:t>4. Requirements</w:t>
      </w:r>
    </w:p>
    <w:p>
      <w:pPr>
        <w:pStyle w:val="ListBullet"/>
      </w:pPr>
      <w:r>
        <w:t>PHI is used and disclosed only for treatment, payment, operations, as authorised, or as permitted or required by law (or as permitted by the BAA).</w:t>
      </w:r>
    </w:p>
    <w:p>
      <w:pPr>
        <w:pStyle w:val="ListBullet"/>
      </w:pPr>
      <w:r>
        <w:t>The minimum necessary standard applies to uses and disclosures.</w:t>
      </w:r>
    </w:p>
    <w:p>
      <w:pPr>
        <w:pStyle w:val="ListBullet"/>
      </w:pPr>
      <w:r>
        <w:t>Individual rights (access, amendment, accounting of disclosures, restrictions, confidential communications) are honoured within regulatory timeframes.</w:t>
      </w:r>
    </w:p>
    <w:p>
      <w:pPr>
        <w:pStyle w:val="ListBullet"/>
      </w:pPr>
      <w:r>
        <w:t>A Notice of Privacy Practices is provided where required.</w:t>
      </w:r>
    </w:p>
    <w:p>
      <w:pPr>
        <w:pStyle w:val="ListBullet"/>
      </w:pPr>
      <w:r>
        <w:t>Complaints are logged and investigated; no retaliation.</w:t>
      </w:r>
    </w:p>
    <w:p>
      <w:pPr>
        <w:pStyle w:val="ListBullet"/>
      </w:pPr>
      <w:r>
        <w:t>De-identification follows Safe Harbor or Expert Determination methods.</w:t>
      </w:r>
    </w:p>
    <w:p>
      <w:pPr>
        <w:pStyle w:val="Heading1"/>
      </w:pPr>
      <w:r>
        <w:t>5.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6. Frequency and timing</w:t>
      </w:r>
    </w:p>
    <w:p>
      <w:r>
        <w:t>Reviewed annually.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Policy</w:t>
      </w:r>
    </w:p>
    <w:p>
      <w:r>
        <w:t>☐  Request and complaint logs</w:t>
      </w:r>
    </w:p>
    <w:p>
      <w:r>
        <w:t>☐  Training records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164.502, 164.514, 164.520 to 164.530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HIPAA Privacy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