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Internal NDA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Non-disclosure agreement for staff and contractors who are not otherwise bound by a confidentiality clause.</w:t>
      </w:r>
    </w:p>
    <w:p>
      <w:pPr>
        <w:pStyle w:val="Heading1"/>
      </w:pPr>
      <w:r>
        <w:t>2. Scope</w:t>
      </w:r>
    </w:p>
    <w:p>
      <w:r>
        <w:t>Personnel and temporary workers accessing confidential information.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Issues and retains NDAs.</w:t>
            </w:r>
          </w:p>
        </w:tc>
      </w:tr>
    </w:tbl>
    <w:p/>
    <w:p>
      <w:pPr>
        <w:pStyle w:val="Heading1"/>
      </w:pPr>
      <w:r>
        <w:t>4. Agreement</w:t>
      </w:r>
    </w:p>
    <w:p>
      <w:pPr>
        <w:pStyle w:val="ListBullet"/>
      </w:pPr>
      <w:r>
        <w:t>Parties: [Organisation Name] ("Company") and [Name] ("Recipient").</w:t>
      </w:r>
    </w:p>
    <w:p>
      <w:pPr>
        <w:pStyle w:val="ListBullet"/>
      </w:pPr>
      <w:r>
        <w:t>Confidential Information means all non-public business, technical, customer and personal data disclosed or accessed.</w:t>
      </w:r>
    </w:p>
    <w:p>
      <w:pPr>
        <w:pStyle w:val="ListBullet"/>
      </w:pPr>
      <w:r>
        <w:t>The Recipient shall use Confidential Information only for authorised work, protect it with reasonable care and not disclose it to anyone without authorisation.</w:t>
      </w:r>
    </w:p>
    <w:p>
      <w:pPr>
        <w:pStyle w:val="ListBullet"/>
      </w:pPr>
      <w:r>
        <w:t>Exclusions: information that is public, already known, independently developed or lawfully received from a third party.</w:t>
      </w:r>
    </w:p>
    <w:p>
      <w:pPr>
        <w:pStyle w:val="ListBullet"/>
      </w:pPr>
      <w:r>
        <w:t>Personal data shall be processed only as instructed and in line with data protection law.</w:t>
      </w:r>
    </w:p>
    <w:p>
      <w:pPr>
        <w:pStyle w:val="ListBullet"/>
      </w:pPr>
      <w:r>
        <w:t>On request or at the end of engagement, the Recipient returns or deletes all Confidential Information.</w:t>
      </w:r>
    </w:p>
    <w:p>
      <w:pPr>
        <w:pStyle w:val="ListBullet"/>
      </w:pPr>
      <w:r>
        <w:t>Obligations survive for [5] years after the engagement ends, and indefinitely for trade secrets and personal data.</w:t>
      </w:r>
    </w:p>
    <w:p>
      <w:pPr>
        <w:pStyle w:val="ListBullet"/>
      </w:pPr>
      <w:r>
        <w:t>Governing law: [Jurisdiction].</w:t>
      </w:r>
    </w:p>
    <w:p>
      <w:pPr>
        <w:pStyle w:val="ListBullet"/>
      </w:pPr>
      <w:r>
        <w:t>Signatures: Company representative and Recipient, with dates.</w:t>
      </w:r>
    </w:p>
    <w:p>
      <w:pPr>
        <w:pStyle w:val="Heading1"/>
      </w:pPr>
      <w:r>
        <w:t>5. Frequency and timing</w:t>
      </w:r>
    </w:p>
    <w:p>
      <w:r>
        <w:t>Before access is granted.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Signed NDAs for sampled personnel dated before access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A.6.6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28(3)(b), 32(4)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NDA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