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Lead Supervisory Authority Determination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Determines the lead supervisory authority under the one-stop-shop mechanism.</w:t>
      </w:r>
    </w:p>
    <w:p>
      <w:pPr>
        <w:pStyle w:val="Heading1"/>
      </w:pPr>
      <w:r>
        <w:t>2. Scope</w:t>
      </w:r>
    </w:p>
    <w:p>
      <w:r>
        <w:t>Cross-border processing in the EU.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Privacy Officer / DPO</w:t>
            </w:r>
          </w:p>
        </w:tc>
        <w:tc>
          <w:tcPr>
            <w:tcW w:type="dxa" w:w="4873"/>
          </w:tcPr>
          <w:p>
            <w:r>
              <w:t>Owns the record and advises.</w:t>
            </w:r>
          </w:p>
        </w:tc>
      </w:tr>
      <w:tr>
        <w:tc>
          <w:tcPr>
            <w:tcW w:type="dxa" w:w="4873"/>
          </w:tcPr>
          <w:p>
            <w:r>
              <w:t>Legal</w:t>
            </w:r>
          </w:p>
        </w:tc>
        <w:tc>
          <w:tcPr>
            <w:tcW w:type="dxa" w:w="4873"/>
          </w:tcPr>
          <w:p>
            <w:r>
              <w:t>Reviews legal positions.</w:t>
            </w:r>
          </w:p>
        </w:tc>
      </w:tr>
    </w:tbl>
    <w:p/>
    <w:p>
      <w:pPr>
        <w:pStyle w:val="Heading1"/>
      </w:pPr>
      <w:r>
        <w:t>4. Assessment</w:t>
      </w:r>
    </w:p>
    <w:p>
      <w:pPr>
        <w:pStyle w:val="ListBullet"/>
      </w:pPr>
      <w:r>
        <w:t>Identify the main establishment in the EU (place of central administration or where decisions on processing are made).</w:t>
      </w:r>
    </w:p>
    <w:p>
      <w:pPr>
        <w:pStyle w:val="ListBullet"/>
      </w:pPr>
      <w:r>
        <w:t>Lead authority: [authority].</w:t>
      </w:r>
    </w:p>
    <w:p>
      <w:pPr>
        <w:pStyle w:val="ListBullet"/>
      </w:pPr>
      <w:r>
        <w:t>If no EU establishment: no one-stop-shop; appoint an EU representative (Art. 27).</w:t>
      </w:r>
    </w:p>
    <w:p>
      <w:pPr>
        <w:pStyle w:val="ListBullet"/>
      </w:pPr>
      <w:r>
        <w:t>Approved by: ____ Date: ____</w:t>
      </w:r>
    </w:p>
    <w:p>
      <w:pPr>
        <w:pStyle w:val="Heading1"/>
      </w:pPr>
      <w:r>
        <w:t>5. Frequency and timing</w:t>
      </w:r>
    </w:p>
    <w:p>
      <w:r>
        <w:t>On organisational change.</w:t>
      </w:r>
    </w:p>
    <w:p>
      <w:pPr>
        <w:pStyle w:val="Heading1"/>
      </w:pPr>
      <w:r>
        <w:t>6. Audit evidence checklist</w:t>
      </w:r>
    </w:p>
    <w:p>
      <w:r>
        <w:t>Retain the following so an auditor can test this control:</w:t>
      </w:r>
    </w:p>
    <w:p>
      <w:r>
        <w:t>☐  Documented determination</w:t>
      </w:r>
    </w:p>
    <w:p>
      <w:pPr>
        <w:pStyle w:val="Heading1"/>
      </w:pPr>
      <w:r>
        <w:t>7.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GDPR</w:t>
            </w:r>
          </w:p>
        </w:tc>
        <w:tc>
          <w:tcPr>
            <w:tcW w:type="dxa" w:w="4873"/>
          </w:tcPr>
          <w:p>
            <w:r>
              <w:t>Art. 4(16), 56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Supervisory Authority Determination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