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Public Privacy Notice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Public notice explaining what personal data is collected, why, how long it is kept and individuals' rights.</w:t>
      </w:r>
    </w:p>
    <w:p>
      <w:pPr>
        <w:pStyle w:val="Heading1"/>
      </w:pPr>
      <w:r>
        <w:t>2. Scope</w:t>
      </w:r>
    </w:p>
    <w:p>
      <w:r>
        <w:t>Public website and product.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Marketing / Legal</w:t>
            </w:r>
          </w:p>
        </w:tc>
        <w:tc>
          <w:tcPr>
            <w:tcW w:type="dxa" w:w="4873"/>
          </w:tcPr>
          <w:p>
            <w:r>
              <w:t>Publishes and maintains the page.</w:t>
            </w:r>
          </w:p>
        </w:tc>
      </w:tr>
      <w:tr>
        <w:tc>
          <w:tcPr>
            <w:tcW w:type="dxa" w:w="4873"/>
          </w:tcPr>
          <w:p>
            <w:r>
              <w:t>Security Lead / Privacy Officer</w:t>
            </w:r>
          </w:p>
        </w:tc>
        <w:tc>
          <w:tcPr>
            <w:tcW w:type="dxa" w:w="4873"/>
          </w:tcPr>
          <w:p>
            <w:r>
              <w:t>Confirms accuracy.</w:t>
            </w:r>
          </w:p>
        </w:tc>
      </w:tr>
    </w:tbl>
    <w:p/>
    <w:p>
      <w:pPr>
        <w:pStyle w:val="Heading1"/>
      </w:pPr>
      <w:r>
        <w:t>4. Required content</w:t>
      </w:r>
    </w:p>
    <w:p>
      <w:pPr>
        <w:pStyle w:val="ListBullet"/>
      </w:pPr>
      <w:r>
        <w:t>Identity and contact details of the controller and DPO.</w:t>
      </w:r>
    </w:p>
    <w:p>
      <w:pPr>
        <w:pStyle w:val="ListBullet"/>
      </w:pPr>
      <w:r>
        <w:t>Purposes and lawful bases for each processing activity.</w:t>
      </w:r>
    </w:p>
    <w:p>
      <w:pPr>
        <w:pStyle w:val="ListBullet"/>
      </w:pPr>
      <w:r>
        <w:t>Categories of personal data and sources.</w:t>
      </w:r>
    </w:p>
    <w:p>
      <w:pPr>
        <w:pStyle w:val="ListBullet"/>
      </w:pPr>
      <w:r>
        <w:t>Recipients and sub-processors.</w:t>
      </w:r>
    </w:p>
    <w:p>
      <w:pPr>
        <w:pStyle w:val="ListBullet"/>
      </w:pPr>
      <w:r>
        <w:t>International transfers and safeguards.</w:t>
      </w:r>
    </w:p>
    <w:p>
      <w:pPr>
        <w:pStyle w:val="ListBullet"/>
      </w:pPr>
      <w:r>
        <w:t>Retention periods.</w:t>
      </w:r>
    </w:p>
    <w:p>
      <w:pPr>
        <w:pStyle w:val="ListBullet"/>
      </w:pPr>
      <w:r>
        <w:t>Rights: access, rectification, erasure, restriction, portability, objection, withdraw consent, complain.</w:t>
      </w:r>
    </w:p>
    <w:p>
      <w:pPr>
        <w:pStyle w:val="ListBullet"/>
      </w:pPr>
      <w:r>
        <w:t>Automated decision-making, if any.</w:t>
      </w:r>
    </w:p>
    <w:p>
      <w:pPr>
        <w:pStyle w:val="ListBullet"/>
      </w:pPr>
      <w:r>
        <w:t>US state privacy rights and HIPAA notice where applicable.</w:t>
      </w:r>
    </w:p>
    <w:p>
      <w:pPr>
        <w:pStyle w:val="ListBullet"/>
      </w:pPr>
      <w:r>
        <w:t>Effective date and change log.</w:t>
      </w:r>
    </w:p>
    <w:p>
      <w:pPr>
        <w:pStyle w:val="Heading1"/>
      </w:pPr>
      <w:r>
        <w:t>5. Frequency and timing</w:t>
      </w:r>
    </w:p>
    <w:p>
      <w:r>
        <w:t>Reviewed at least annually and when practices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Published page with date</w:t>
      </w:r>
    </w:p>
    <w:p>
      <w:r>
        <w:t>☐  Review record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12 to 14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P1.1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164.520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Privacy Notice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