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Employee Termination Security Policy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Defines the security steps required when employment or a contract ends, including access revocation, asset return and continuing obligations.</w:t>
      </w:r>
    </w:p>
    <w:p>
      <w:pPr>
        <w:pStyle w:val="Heading1"/>
      </w:pPr>
      <w:r>
        <w:t>2. Scope</w:t>
      </w:r>
    </w:p>
    <w:p>
      <w:r>
        <w:t>All employees and contractors leaving the organisation or changing roles.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Head of People</w:t>
            </w:r>
          </w:p>
        </w:tc>
        <w:tc>
          <w:tcPr>
            <w:tcW w:type="dxa" w:w="4873"/>
          </w:tcPr>
          <w:p>
            <w:r>
              <w:t>Triggers offboarding.</w:t>
            </w:r>
          </w:p>
        </w:tc>
      </w:tr>
      <w:tr>
        <w:tc>
          <w:tcPr>
            <w:tcW w:type="dxa" w:w="4873"/>
          </w:tcPr>
          <w:p>
            <w:r>
              <w:t>IT / System Owners</w:t>
            </w:r>
          </w:p>
        </w:tc>
        <w:tc>
          <w:tcPr>
            <w:tcW w:type="dxa" w:w="4873"/>
          </w:tcPr>
          <w:p>
            <w:r>
              <w:t>Remove access.</w:t>
            </w:r>
          </w:p>
        </w:tc>
      </w:tr>
      <w:tr>
        <w:tc>
          <w:tcPr>
            <w:tcW w:type="dxa" w:w="4873"/>
          </w:tcPr>
          <w:p>
            <w:r>
              <w:t>Managers</w:t>
            </w:r>
          </w:p>
        </w:tc>
        <w:tc>
          <w:tcPr>
            <w:tcW w:type="dxa" w:w="4873"/>
          </w:tcPr>
          <w:p>
            <w:r>
              <w:t>Confirm hand-over and asset return.</w:t>
            </w:r>
          </w:p>
        </w:tc>
      </w:tr>
    </w:tbl>
    <w:p/>
    <w:p>
      <w:pPr>
        <w:pStyle w:val="Heading1"/>
      </w:pPr>
      <w:r>
        <w:t>4. Requirements</w:t>
      </w:r>
    </w:p>
    <w:p>
      <w:pPr>
        <w:pStyle w:val="ListBullet"/>
      </w:pPr>
      <w:r>
        <w:t>HR notifies IT and system owners of terminations on or before the last day (immediately for involuntary terminations).</w:t>
      </w:r>
    </w:p>
    <w:p>
      <w:pPr>
        <w:pStyle w:val="ListBullet"/>
      </w:pPr>
      <w:r>
        <w:t>All logical access is revoked within [24 hours]; privileged and sensitive data access immediately.</w:t>
      </w:r>
    </w:p>
    <w:p>
      <w:pPr>
        <w:pStyle w:val="ListBullet"/>
      </w:pPr>
      <w:r>
        <w:t>Shared secrets the leaver knew are rotated.</w:t>
      </w:r>
    </w:p>
    <w:p>
      <w:pPr>
        <w:pStyle w:val="ListBullet"/>
      </w:pPr>
      <w:r>
        <w:t>All company assets are returned and recorded; devices are wiped before reissue.</w:t>
      </w:r>
    </w:p>
    <w:p>
      <w:pPr>
        <w:pStyle w:val="ListBullet"/>
      </w:pPr>
      <w:r>
        <w:t>Confidentiality and IP obligations are reaffirmed in writing.</w:t>
      </w:r>
    </w:p>
    <w:p>
      <w:pPr>
        <w:pStyle w:val="ListBullet"/>
      </w:pPr>
      <w:r>
        <w:t>The termination checklist is completed and retained as evidence.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Completed termination checklists</w:t>
      </w:r>
    </w:p>
    <w:p>
      <w:r>
        <w:t>☐  Access removal timestamps vs termination dates</w:t>
      </w:r>
    </w:p>
    <w:p>
      <w:r>
        <w:t>☐  Asset return records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CC6.2, CC6.3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A.5.11, A.6.5, A.5.18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164.308(a)(3)(ii)(C)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32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Termination Security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