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Workstation Security Policy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Defines physical and technical safeguards for workstations that access electronic protected health information (ePHI).</w:t>
      </w:r>
    </w:p>
    <w:p>
      <w:pPr>
        <w:pStyle w:val="Heading1"/>
      </w:pPr>
      <w:r>
        <w:t>2. Scope</w:t>
      </w:r>
    </w:p>
    <w:p>
      <w:r>
        <w:t>All laptops, desktops and mobile devices used to access ePHI.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IT</w:t>
            </w:r>
          </w:p>
        </w:tc>
        <w:tc>
          <w:tcPr>
            <w:tcW w:type="dxa" w:w="4873"/>
          </w:tcPr>
          <w:p>
            <w:r>
              <w:t>Configures and monitors workstations.</w:t>
            </w:r>
          </w:p>
        </w:tc>
      </w:tr>
      <w:tr>
        <w:tc>
          <w:tcPr>
            <w:tcW w:type="dxa" w:w="4873"/>
          </w:tcPr>
          <w:p>
            <w:r>
              <w:t>Workforce members</w:t>
            </w:r>
          </w:p>
        </w:tc>
        <w:tc>
          <w:tcPr>
            <w:tcW w:type="dxa" w:w="4873"/>
          </w:tcPr>
          <w:p>
            <w:r>
              <w:t>Follow workstation rules.</w:t>
            </w:r>
          </w:p>
        </w:tc>
      </w:tr>
      <w:tr>
        <w:tc>
          <w:tcPr>
            <w:tcW w:type="dxa" w:w="4873"/>
          </w:tcPr>
          <w:p>
            <w:r>
              <w:t>HIPAA Security Officer</w:t>
            </w:r>
          </w:p>
        </w:tc>
        <w:tc>
          <w:tcPr>
            <w:tcW w:type="dxa" w:w="4873"/>
          </w:tcPr>
          <w:p>
            <w:r>
              <w:t>Owns the policy.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Workstations are company-managed, enrolled in MDM and encrypted.</w:t>
      </w:r>
    </w:p>
    <w:p>
      <w:pPr>
        <w:pStyle w:val="ListBullet"/>
      </w:pPr>
      <w:r>
        <w:t>Screens lock after [5] minutes of inactivity and require a password to unlock.</w:t>
      </w:r>
    </w:p>
    <w:p>
      <w:pPr>
        <w:pStyle w:val="ListBullet"/>
      </w:pPr>
      <w:r>
        <w:t>Workstations are positioned so screens with ePHI cannot be viewed by unauthorised people.</w:t>
      </w:r>
    </w:p>
    <w:p>
      <w:pPr>
        <w:pStyle w:val="ListBullet"/>
      </w:pPr>
      <w:r>
        <w:t>ePHI must not be stored locally unless approved and encrypted.</w:t>
      </w:r>
    </w:p>
    <w:p>
      <w:pPr>
        <w:pStyle w:val="ListBullet"/>
      </w:pPr>
      <w:r>
        <w:t>Endpoint protection and automatic OS updates are enabled.</w:t>
      </w:r>
    </w:p>
    <w:p>
      <w:pPr>
        <w:pStyle w:val="ListBullet"/>
      </w:pPr>
      <w:r>
        <w:t>Workstations are not left unattended and unlocked in public areas.</w:t>
      </w:r>
    </w:p>
    <w:p>
      <w:pPr>
        <w:pStyle w:val="ListBullet"/>
      </w:pPr>
      <w:r>
        <w:t>Lost or stolen devices are reported immediately and remotely wiped.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MDM compliance report</w:t>
      </w:r>
    </w:p>
    <w:p>
      <w:r>
        <w:t>☐  Screen lock and encryption settings</w:t>
      </w:r>
    </w:p>
    <w:p>
      <w:r>
        <w:t>☐  Acknowledgements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164.310(b), 164.310(c), 164.312(a)(2)(iii)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Workstation Security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