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76EAC">
      <w:pPr>
        <w:spacing w:after="60"/>
      </w:pPr>
      <w:r>
        <w:rPr>
          <w:b/>
          <w:bCs/>
          <w:color w:val="1C2B45"/>
          <w:sz w:val="40"/>
          <w:szCs w:val="40"/>
        </w:rPr>
        <w:t>PROOF OF MEDIA / DEVICE DISPOSAL</w:t>
      </w:r>
    </w:p>
    <w:p w14:paraId="4C877957">
      <w:pPr>
        <w:spacing w:after="40"/>
      </w:pPr>
      <w:r>
        <w:rPr>
          <w:color w:val="3D4C64"/>
          <w:sz w:val="24"/>
          <w:szCs w:val="24"/>
        </w:rPr>
        <w:t>Internal Audit Evidence Email Cycle — Zero-Disposal Scenario</w:t>
      </w:r>
    </w:p>
    <w:p w14:paraId="5ABE593E">
      <w:pPr>
        <w:spacing w:after="200"/>
      </w:pPr>
      <w:r>
        <w:rPr>
          <w:b/>
          <w:bCs/>
          <w:i/>
          <w:iCs/>
          <w:color w:val="A9812E"/>
          <w:sz w:val="19"/>
          <w:szCs w:val="19"/>
        </w:rPr>
        <w:t>Reusable across organizations and security frameworks (SOC 2, ISO/IEC 27001, HIPAA, PCI DSS, or other applicable requirements)</w:t>
      </w:r>
    </w:p>
    <w:p w14:paraId="0BA98ED3">
      <w:pPr>
        <w:spacing w:after="200"/>
      </w:pPr>
      <w:bookmarkStart w:id="0" w:name="_GoBack"/>
      <w:bookmarkEnd w:id="0"/>
    </w:p>
    <w:p w14:paraId="7B4F2D23">
      <w:pPr>
        <w:pStyle w:val="2"/>
        <w:pBdr>
          <w:bottom w:val="none" w:color="FFFFFF" w:sz="0" w:space="0"/>
        </w:pBdr>
        <w:spacing w:before="320" w:after="160"/>
      </w:pPr>
      <w:r>
        <w:rPr>
          <w:b/>
          <w:bCs/>
          <w:color w:val="1C2B45"/>
          <w:sz w:val="26"/>
          <w:szCs w:val="26"/>
        </w:rPr>
        <w:t>Purpose</w:t>
      </w:r>
    </w:p>
    <w:p w14:paraId="4E61AE13">
      <w:pPr>
        <w:spacing w:after="120"/>
      </w:pPr>
      <w:r>
        <w:rPr>
          <w:b w:val="0"/>
          <w:bCs w:val="0"/>
          <w:i w:val="0"/>
          <w:iCs w:val="0"/>
          <w:color w:val="222222"/>
          <w:sz w:val="21"/>
          <w:szCs w:val="21"/>
        </w:rPr>
        <w:t>This template provides a simple, internal email exchange that stands on its own as audit evidence when no physical media or device disposal occurred during an audit period. It is intended for direct use by the client organization's own team — no external GRC or audit party is part of the chain — and can be dropped into [GRC platform], or any evidence repository, as a self-contained artifact.</w:t>
      </w:r>
    </w:p>
    <w:p w14:paraId="6F9BD76C">
      <w:pPr>
        <w:spacing w:after="120"/>
      </w:pPr>
      <w:r>
        <w:rPr>
          <w:b w:val="0"/>
          <w:bCs w:val="0"/>
          <w:i w:val="0"/>
          <w:iCs w:val="0"/>
          <w:color w:val="222222"/>
          <w:sz w:val="21"/>
          <w:szCs w:val="21"/>
        </w:rPr>
        <w:t>For scenarios where disposal did occur, use your organization's full disposal register and certificate-based evidence process instead of this template.</w:t>
      </w:r>
    </w:p>
    <w:p w14:paraId="2CE0FBED">
      <w:pPr>
        <w:pStyle w:val="2"/>
        <w:pBdr>
          <w:bottom w:val="none" w:color="FFFFFF" w:sz="0" w:space="0"/>
        </w:pBdr>
        <w:spacing w:before="320" w:after="160"/>
      </w:pPr>
      <w:r>
        <w:rPr>
          <w:b/>
          <w:bCs/>
          <w:color w:val="1C2B45"/>
          <w:sz w:val="26"/>
          <w:szCs w:val="26"/>
        </w:rPr>
        <w:t>When to Use This Template</w:t>
      </w:r>
    </w:p>
    <w:p w14:paraId="0C5F7BAE">
      <w:pPr>
        <w:pStyle w:val="16"/>
        <w:numPr>
          <w:ilvl w:val="0"/>
          <w:numId w:val="1"/>
        </w:numPr>
        <w:spacing w:after="60"/>
      </w:pPr>
      <w:r>
        <w:rPr>
          <w:sz w:val="21"/>
          <w:szCs w:val="21"/>
        </w:rPr>
        <w:t>No physical media, devices, or hardware containing confidential or restricted data were disposed of, decommissioned, or destroyed during the audit period.</w:t>
      </w:r>
    </w:p>
    <w:p w14:paraId="0DEDDE77">
      <w:pPr>
        <w:pStyle w:val="16"/>
        <w:numPr>
          <w:ilvl w:val="0"/>
          <w:numId w:val="1"/>
        </w:numPr>
        <w:spacing w:after="60"/>
      </w:pPr>
      <w:r>
        <w:rPr>
          <w:sz w:val="21"/>
          <w:szCs w:val="21"/>
        </w:rPr>
        <w:t>The organization can confirm this from an internal system of record (asset inventory, CMDB, ITSM, or equivalent).</w:t>
      </w:r>
    </w:p>
    <w:p w14:paraId="5C888611">
      <w:pPr>
        <w:pStyle w:val="16"/>
        <w:numPr>
          <w:ilvl w:val="0"/>
          <w:numId w:val="1"/>
        </w:numPr>
        <w:spacing w:after="60"/>
      </w:pPr>
      <w:r>
        <w:rPr>
          <w:sz w:val="21"/>
          <w:szCs w:val="21"/>
        </w:rPr>
        <w:t>The applicable framework allows the control/test to be marked Not Applicable when supported by evidence of zero activity (rather than requiring a certificate of destruction).</w:t>
      </w:r>
    </w:p>
    <w:p w14:paraId="5FDDBD3F">
      <w:pPr>
        <w:spacing w:after="120"/>
      </w:pPr>
    </w:p>
    <w:p w14:paraId="40618BE6">
      <w:pPr>
        <w:pStyle w:val="2"/>
        <w:pBdr>
          <w:bottom w:val="none" w:color="FFFFFF" w:sz="0" w:space="0"/>
        </w:pBdr>
        <w:spacing w:before="320" w:after="160"/>
      </w:pPr>
      <w:r>
        <w:rPr>
          <w:b/>
          <w:bCs/>
          <w:color w:val="1C2B45"/>
          <w:sz w:val="26"/>
          <w:szCs w:val="26"/>
        </w:rPr>
        <w:t>Email Cycle Overview</w:t>
      </w:r>
    </w:p>
    <w:tbl>
      <w:tblPr>
        <w:tblStyle w:val="9"/>
        <w:tblW w:w="5000" w:type="pct"/>
        <w:tblInd w:w="0" w:type="dxa"/>
        <w:tblBorders>
          <w:top w:val="single" w:color="DCE1E8" w:sz="4" w:space="0"/>
          <w:left w:val="single" w:color="DCE1E8" w:sz="4" w:space="0"/>
          <w:bottom w:val="single" w:color="DCE1E8" w:sz="4" w:space="0"/>
          <w:right w:val="single" w:color="DCE1E8" w:sz="4" w:space="0"/>
          <w:insideH w:val="single" w:color="DCE1E8" w:sz="4" w:space="0"/>
          <w:insideV w:val="single" w:color="DCE1E8" w:sz="4" w:space="0"/>
        </w:tblBorders>
        <w:tblLayout w:type="autofit"/>
        <w:tblCellMar>
          <w:top w:w="0" w:type="dxa"/>
          <w:left w:w="10" w:type="dxa"/>
          <w:bottom w:w="0" w:type="dxa"/>
          <w:right w:w="10" w:type="dxa"/>
        </w:tblCellMar>
      </w:tblPr>
      <w:tblGrid>
        <w:gridCol w:w="1032"/>
        <w:gridCol w:w="4128"/>
        <w:gridCol w:w="5160"/>
      </w:tblGrid>
      <w:tr w14:paraId="45BA9702">
        <w:tblPrEx>
          <w:tblCellMar>
            <w:top w:w="0" w:type="dxa"/>
            <w:left w:w="10" w:type="dxa"/>
            <w:bottom w:w="0" w:type="dxa"/>
            <w:right w:w="10" w:type="dxa"/>
          </w:tblCellMar>
        </w:tblPrEx>
        <w:trPr>
          <w:tblHeader/>
        </w:trPr>
        <w:tc>
          <w:tcPr>
            <w:tcW w:w="500" w:type="pct"/>
            <w:shd w:val="clear" w:color="auto" w:fill="1C2B45"/>
            <w:tcMar>
              <w:top w:w="100" w:type="dxa"/>
              <w:left w:w="120" w:type="dxa"/>
              <w:bottom w:w="100" w:type="dxa"/>
              <w:right w:w="120" w:type="dxa"/>
            </w:tcMar>
          </w:tcPr>
          <w:p w14:paraId="4C4C14BA">
            <w:r>
              <w:rPr>
                <w:b/>
                <w:bCs/>
                <w:color w:val="FFFFFF"/>
                <w:sz w:val="20"/>
                <w:szCs w:val="20"/>
              </w:rPr>
              <w:t>Step</w:t>
            </w:r>
          </w:p>
        </w:tc>
        <w:tc>
          <w:tcPr>
            <w:tcW w:w="2000" w:type="pct"/>
            <w:shd w:val="clear" w:color="auto" w:fill="1C2B45"/>
            <w:tcMar>
              <w:top w:w="100" w:type="dxa"/>
              <w:left w:w="120" w:type="dxa"/>
              <w:bottom w:w="100" w:type="dxa"/>
              <w:right w:w="120" w:type="dxa"/>
            </w:tcMar>
          </w:tcPr>
          <w:p w14:paraId="7BF23813">
            <w:r>
              <w:rPr>
                <w:b/>
                <w:bCs/>
                <w:color w:val="FFFFFF"/>
                <w:sz w:val="20"/>
                <w:szCs w:val="20"/>
              </w:rPr>
              <w:t>Sender → Recipient</w:t>
            </w:r>
          </w:p>
        </w:tc>
        <w:tc>
          <w:tcPr>
            <w:tcW w:w="2500" w:type="pct"/>
            <w:shd w:val="clear" w:color="auto" w:fill="1C2B45"/>
            <w:tcMar>
              <w:top w:w="100" w:type="dxa"/>
              <w:left w:w="120" w:type="dxa"/>
              <w:bottom w:w="100" w:type="dxa"/>
              <w:right w:w="120" w:type="dxa"/>
            </w:tcMar>
          </w:tcPr>
          <w:p w14:paraId="56C041C8">
            <w:r>
              <w:rPr>
                <w:b/>
                <w:bCs/>
                <w:color w:val="FFFFFF"/>
                <w:sz w:val="20"/>
                <w:szCs w:val="20"/>
              </w:rPr>
              <w:t>Purpose</w:t>
            </w:r>
          </w:p>
        </w:tc>
      </w:tr>
      <w:tr w14:paraId="6F1D88C0">
        <w:tblPrEx>
          <w:tblBorders>
            <w:top w:val="single" w:color="DCE1E8" w:sz="4" w:space="0"/>
            <w:left w:val="single" w:color="DCE1E8" w:sz="4" w:space="0"/>
            <w:bottom w:val="single" w:color="DCE1E8" w:sz="4" w:space="0"/>
            <w:right w:val="single" w:color="DCE1E8" w:sz="4" w:space="0"/>
            <w:insideH w:val="single" w:color="DCE1E8" w:sz="4" w:space="0"/>
            <w:insideV w:val="single" w:color="DCE1E8" w:sz="4" w:space="0"/>
          </w:tblBorders>
          <w:tblCellMar>
            <w:top w:w="0" w:type="dxa"/>
            <w:left w:w="10" w:type="dxa"/>
            <w:bottom w:w="0" w:type="dxa"/>
            <w:right w:w="10" w:type="dxa"/>
          </w:tblCellMar>
        </w:tblPrEx>
        <w:tc>
          <w:tcPr>
            <w:tcW w:w="500" w:type="pct"/>
            <w:shd w:val="clear" w:color="auto" w:fill="F0F2F6"/>
            <w:tcMar>
              <w:top w:w="100" w:type="dxa"/>
              <w:left w:w="120" w:type="dxa"/>
              <w:bottom w:w="100" w:type="dxa"/>
              <w:right w:w="120" w:type="dxa"/>
            </w:tcMar>
          </w:tcPr>
          <w:p w14:paraId="3747B0F5">
            <w:pPr>
              <w:jc w:val="center"/>
            </w:pPr>
            <w:r>
              <w:rPr>
                <w:b/>
                <w:bCs/>
                <w:color w:val="1C2B45"/>
                <w:sz w:val="20"/>
                <w:szCs w:val="20"/>
              </w:rPr>
              <w:t>1</w:t>
            </w:r>
          </w:p>
        </w:tc>
        <w:tc>
          <w:tcPr>
            <w:tcW w:w="2000" w:type="pct"/>
            <w:shd w:val="clear" w:color="auto" w:fill="F0F2F6"/>
            <w:tcMar>
              <w:top w:w="100" w:type="dxa"/>
              <w:left w:w="120" w:type="dxa"/>
              <w:bottom w:w="100" w:type="dxa"/>
              <w:right w:w="120" w:type="dxa"/>
            </w:tcMar>
          </w:tcPr>
          <w:p w14:paraId="595D93B8">
            <w:r>
              <w:rPr>
                <w:sz w:val="20"/>
                <w:szCs w:val="20"/>
              </w:rPr>
              <w:t>Security/Compliance Lead → IT Manager / Asset Owner</w:t>
            </w:r>
          </w:p>
        </w:tc>
        <w:tc>
          <w:tcPr>
            <w:tcW w:w="2500" w:type="pct"/>
            <w:shd w:val="clear" w:color="auto" w:fill="F0F2F6"/>
            <w:tcMar>
              <w:top w:w="100" w:type="dxa"/>
              <w:left w:w="120" w:type="dxa"/>
              <w:bottom w:w="100" w:type="dxa"/>
              <w:right w:w="120" w:type="dxa"/>
            </w:tcMar>
          </w:tcPr>
          <w:p w14:paraId="0D44BBE8">
            <w:r>
              <w:rPr>
                <w:sz w:val="20"/>
                <w:szCs w:val="20"/>
              </w:rPr>
              <w:t>Request confirmation of media/device disposal activity (or lack thereof) for the audit period.</w:t>
            </w:r>
          </w:p>
        </w:tc>
      </w:tr>
      <w:tr w14:paraId="1B903A7A">
        <w:tblPrEx>
          <w:tblBorders>
            <w:top w:val="single" w:color="DCE1E8" w:sz="4" w:space="0"/>
            <w:left w:val="single" w:color="DCE1E8" w:sz="4" w:space="0"/>
            <w:bottom w:val="single" w:color="DCE1E8" w:sz="4" w:space="0"/>
            <w:right w:val="single" w:color="DCE1E8" w:sz="4" w:space="0"/>
            <w:insideH w:val="single" w:color="DCE1E8" w:sz="4" w:space="0"/>
            <w:insideV w:val="single" w:color="DCE1E8" w:sz="4" w:space="0"/>
          </w:tblBorders>
          <w:tblCellMar>
            <w:top w:w="0" w:type="dxa"/>
            <w:left w:w="10" w:type="dxa"/>
            <w:bottom w:w="0" w:type="dxa"/>
            <w:right w:w="10" w:type="dxa"/>
          </w:tblCellMar>
        </w:tblPrEx>
        <w:tc>
          <w:tcPr>
            <w:tcW w:w="500" w:type="pct"/>
            <w:shd w:val="clear" w:color="auto" w:fill="FFFFFF"/>
            <w:tcMar>
              <w:top w:w="100" w:type="dxa"/>
              <w:left w:w="120" w:type="dxa"/>
              <w:bottom w:w="100" w:type="dxa"/>
              <w:right w:w="120" w:type="dxa"/>
            </w:tcMar>
          </w:tcPr>
          <w:p w14:paraId="130AA43B">
            <w:pPr>
              <w:jc w:val="center"/>
            </w:pPr>
            <w:r>
              <w:rPr>
                <w:b/>
                <w:bCs/>
                <w:color w:val="1C2B45"/>
                <w:sz w:val="20"/>
                <w:szCs w:val="20"/>
              </w:rPr>
              <w:t>2</w:t>
            </w:r>
          </w:p>
        </w:tc>
        <w:tc>
          <w:tcPr>
            <w:tcW w:w="2000" w:type="pct"/>
            <w:shd w:val="clear" w:color="auto" w:fill="FFFFFF"/>
            <w:tcMar>
              <w:top w:w="100" w:type="dxa"/>
              <w:left w:w="120" w:type="dxa"/>
              <w:bottom w:w="100" w:type="dxa"/>
              <w:right w:w="120" w:type="dxa"/>
            </w:tcMar>
          </w:tcPr>
          <w:p w14:paraId="5FF6D95C">
            <w:r>
              <w:rPr>
                <w:sz w:val="20"/>
                <w:szCs w:val="20"/>
              </w:rPr>
              <w:t>IT Manager / Asset Owner → Security/Compliance Lead</w:t>
            </w:r>
          </w:p>
        </w:tc>
        <w:tc>
          <w:tcPr>
            <w:tcW w:w="2500" w:type="pct"/>
            <w:shd w:val="clear" w:color="auto" w:fill="FFFFFF"/>
            <w:tcMar>
              <w:top w:w="100" w:type="dxa"/>
              <w:left w:w="120" w:type="dxa"/>
              <w:bottom w:w="100" w:type="dxa"/>
              <w:right w:w="120" w:type="dxa"/>
            </w:tcMar>
          </w:tcPr>
          <w:p w14:paraId="442DD814">
            <w:r>
              <w:rPr>
                <w:sz w:val="20"/>
                <w:szCs w:val="20"/>
              </w:rPr>
              <w:t>Confirm zero disposal activity, attach supporting asset inventory/CMDB evidence, and note the test can be marked Not Applicable.</w:t>
            </w:r>
          </w:p>
        </w:tc>
      </w:tr>
    </w:tbl>
    <w:p w14:paraId="3CEA33C4">
      <w:pPr>
        <w:spacing w:after="200"/>
      </w:pPr>
    </w:p>
    <w:p w14:paraId="2BF5E754">
      <w:pPr>
        <w:pStyle w:val="2"/>
        <w:pBdr>
          <w:bottom w:val="none" w:color="FFFFFF" w:sz="0" w:space="0"/>
        </w:pBdr>
        <w:spacing w:before="320" w:after="160"/>
      </w:pPr>
      <w:r>
        <w:rPr>
          <w:b/>
          <w:bCs/>
          <w:color w:val="1C2B45"/>
          <w:sz w:val="26"/>
          <w:szCs w:val="26"/>
        </w:rPr>
        <w:t>Email 1 — Evidence Request</w:t>
      </w:r>
    </w:p>
    <w:tbl>
      <w:tblPr>
        <w:tblStyle w:val="9"/>
        <w:tblW w:w="5000" w:type="pct"/>
        <w:tblInd w:w="0" w:type="dxa"/>
        <w:tblBorders>
          <w:top w:val="single" w:color="DCE1E8" w:sz="6" w:space="0"/>
          <w:left w:val="single" w:color="DCE1E8" w:sz="6" w:space="0"/>
          <w:bottom w:val="single" w:color="DCE1E8" w:sz="6" w:space="0"/>
          <w:right w:val="single" w:color="DCE1E8" w:sz="6"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6E2DEB6D">
        <w:tblPrEx>
          <w:tblBorders>
            <w:top w:val="single" w:color="DCE1E8" w:sz="6" w:space="0"/>
            <w:left w:val="single" w:color="DCE1E8" w:sz="6" w:space="0"/>
            <w:bottom w:val="single" w:color="DCE1E8" w:sz="6" w:space="0"/>
            <w:right w:val="single" w:color="DCE1E8" w:sz="6" w:space="0"/>
            <w:insideH w:val="none" w:color="FFFFFF" w:sz="0" w:space="0"/>
            <w:insideV w:val="none" w:color="FFFFFF" w:sz="0" w:space="0"/>
          </w:tblBorders>
        </w:tblPrEx>
        <w:tc>
          <w:tcPr>
            <w:tcW w:w="5000" w:type="pct"/>
            <w:shd w:val="clear" w:color="auto" w:fill="FBFBFC"/>
            <w:tcMar>
              <w:top w:w="200" w:type="dxa"/>
              <w:left w:w="220" w:type="dxa"/>
              <w:bottom w:w="200" w:type="dxa"/>
              <w:right w:w="220" w:type="dxa"/>
            </w:tcMar>
          </w:tcPr>
          <w:p w14:paraId="6E61FC44">
            <w:pPr>
              <w:spacing w:after="40"/>
            </w:pPr>
            <w:r>
              <w:rPr>
                <w:b/>
                <w:bCs/>
                <w:color w:val="1C2B45"/>
                <w:sz w:val="21"/>
                <w:szCs w:val="21"/>
              </w:rPr>
              <w:t xml:space="preserve">From: </w:t>
            </w:r>
            <w:r>
              <w:rPr>
                <w:sz w:val="21"/>
                <w:szCs w:val="21"/>
              </w:rPr>
              <w:t>[Security/Compliance Lead]</w:t>
            </w:r>
          </w:p>
          <w:p w14:paraId="4E6A4FF2">
            <w:pPr>
              <w:spacing w:after="40"/>
            </w:pPr>
            <w:r>
              <w:rPr>
                <w:b/>
                <w:bCs/>
                <w:color w:val="1C2B45"/>
                <w:sz w:val="21"/>
                <w:szCs w:val="21"/>
              </w:rPr>
              <w:t xml:space="preserve">To: </w:t>
            </w:r>
            <w:r>
              <w:rPr>
                <w:sz w:val="21"/>
                <w:szCs w:val="21"/>
              </w:rPr>
              <w:t>[IT Manager / Asset Owner]</w:t>
            </w:r>
          </w:p>
          <w:p w14:paraId="5E0D02A7">
            <w:pPr>
              <w:spacing w:after="160"/>
            </w:pPr>
            <w:r>
              <w:rPr>
                <w:b/>
                <w:bCs/>
                <w:color w:val="1C2B45"/>
                <w:sz w:val="21"/>
                <w:szCs w:val="21"/>
              </w:rPr>
              <w:t xml:space="preserve">Subject: </w:t>
            </w:r>
            <w:r>
              <w:rPr>
                <w:b/>
                <w:bCs/>
                <w:sz w:val="21"/>
                <w:szCs w:val="21"/>
              </w:rPr>
              <w:t>Confirmation Needed — Media/Device Disposal Activity for [Audit Period]</w:t>
            </w:r>
          </w:p>
          <w:p w14:paraId="4A6E66E5">
            <w:pPr>
              <w:spacing w:after="120"/>
            </w:pPr>
            <w:r>
              <w:rPr>
                <w:b w:val="0"/>
                <w:bCs w:val="0"/>
                <w:i w:val="0"/>
                <w:iCs w:val="0"/>
                <w:color w:val="222222"/>
                <w:sz w:val="21"/>
                <w:szCs w:val="21"/>
              </w:rPr>
              <w:t>Hi [Name],</w:t>
            </w:r>
          </w:p>
          <w:p w14:paraId="1DED1058">
            <w:pPr>
              <w:spacing w:after="120"/>
            </w:pPr>
            <w:r>
              <w:rPr>
                <w:b w:val="0"/>
                <w:bCs w:val="0"/>
                <w:i w:val="0"/>
                <w:iCs w:val="0"/>
                <w:color w:val="222222"/>
                <w:sz w:val="21"/>
                <w:szCs w:val="21"/>
              </w:rPr>
              <w:t>As part of our [SOC 2 / ISO 27001 / HIPAA / Applicable Framework] evidence collection for [Start Date] to [End Date], I need to confirm whether any physical media or devices (containing confidential/restricted data) were disposed of or destroyed during this period.</w:t>
            </w:r>
          </w:p>
          <w:p w14:paraId="3891BC04">
            <w:pPr>
              <w:spacing w:after="120"/>
            </w:pPr>
            <w:r>
              <w:rPr>
                <w:b w:val="0"/>
                <w:bCs w:val="0"/>
                <w:i w:val="0"/>
                <w:iCs w:val="0"/>
                <w:color w:val="222222"/>
                <w:sz w:val="21"/>
                <w:szCs w:val="21"/>
              </w:rPr>
              <w:t>Could you check our asset inventory / CMDB and let me know either way? If nothing was disposed of, a short confirmation plus a screenshot or export of the relevant asset log would be great.</w:t>
            </w:r>
          </w:p>
          <w:p w14:paraId="523B00DB">
            <w:pPr>
              <w:spacing w:after="120"/>
            </w:pPr>
            <w:r>
              <w:rPr>
                <w:b w:val="0"/>
                <w:bCs w:val="0"/>
                <w:i w:val="0"/>
                <w:iCs w:val="0"/>
                <w:color w:val="222222"/>
                <w:sz w:val="21"/>
                <w:szCs w:val="21"/>
              </w:rPr>
              <w:t>Thanks,</w:t>
            </w:r>
          </w:p>
          <w:p w14:paraId="29851AB5">
            <w:pPr>
              <w:spacing w:after="120"/>
            </w:pPr>
            <w:r>
              <w:rPr>
                <w:b w:val="0"/>
                <w:bCs w:val="0"/>
                <w:i w:val="0"/>
                <w:iCs w:val="0"/>
                <w:color w:val="222222"/>
                <w:sz w:val="21"/>
                <w:szCs w:val="21"/>
              </w:rPr>
              <w:t>[Name]</w:t>
            </w:r>
          </w:p>
        </w:tc>
      </w:tr>
    </w:tbl>
    <w:p w14:paraId="2DBC4128">
      <w:pPr>
        <w:spacing w:after="240"/>
      </w:pPr>
    </w:p>
    <w:p w14:paraId="1968160B">
      <w:pPr>
        <w:pStyle w:val="2"/>
        <w:pBdr>
          <w:bottom w:val="none" w:color="FFFFFF" w:sz="0" w:space="0"/>
        </w:pBdr>
        <w:spacing w:before="320" w:after="160"/>
      </w:pPr>
      <w:r>
        <w:rPr>
          <w:b/>
          <w:bCs/>
          <w:color w:val="1C2B45"/>
          <w:sz w:val="26"/>
          <w:szCs w:val="26"/>
        </w:rPr>
        <w:t>Email 2 — Confirmation &amp; Closure</w:t>
      </w:r>
    </w:p>
    <w:tbl>
      <w:tblPr>
        <w:tblStyle w:val="9"/>
        <w:tblW w:w="5000" w:type="pct"/>
        <w:tblInd w:w="0" w:type="dxa"/>
        <w:tblBorders>
          <w:top w:val="single" w:color="DCE1E8" w:sz="6" w:space="0"/>
          <w:left w:val="single" w:color="DCE1E8" w:sz="6" w:space="0"/>
          <w:bottom w:val="single" w:color="DCE1E8" w:sz="6" w:space="0"/>
          <w:right w:val="single" w:color="DCE1E8" w:sz="6"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39AC66F2">
        <w:tblPrEx>
          <w:tblBorders>
            <w:top w:val="single" w:color="DCE1E8" w:sz="6" w:space="0"/>
            <w:left w:val="single" w:color="DCE1E8" w:sz="6" w:space="0"/>
            <w:bottom w:val="single" w:color="DCE1E8" w:sz="6" w:space="0"/>
            <w:right w:val="single" w:color="DCE1E8" w:sz="6"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BFBFC"/>
            <w:tcMar>
              <w:top w:w="200" w:type="dxa"/>
              <w:left w:w="220" w:type="dxa"/>
              <w:bottom w:w="200" w:type="dxa"/>
              <w:right w:w="220" w:type="dxa"/>
            </w:tcMar>
          </w:tcPr>
          <w:p w14:paraId="62B30AB5">
            <w:pPr>
              <w:spacing w:after="40"/>
            </w:pPr>
            <w:r>
              <w:rPr>
                <w:b/>
                <w:bCs/>
                <w:color w:val="1C2B45"/>
                <w:sz w:val="21"/>
                <w:szCs w:val="21"/>
              </w:rPr>
              <w:t xml:space="preserve">From: </w:t>
            </w:r>
            <w:r>
              <w:rPr>
                <w:sz w:val="21"/>
                <w:szCs w:val="21"/>
              </w:rPr>
              <w:t>[IT Manager / Asset Owner]</w:t>
            </w:r>
          </w:p>
          <w:p w14:paraId="73E49F69">
            <w:pPr>
              <w:spacing w:after="40"/>
            </w:pPr>
            <w:r>
              <w:rPr>
                <w:b/>
                <w:bCs/>
                <w:color w:val="1C2B45"/>
                <w:sz w:val="21"/>
                <w:szCs w:val="21"/>
              </w:rPr>
              <w:t xml:space="preserve">To: </w:t>
            </w:r>
            <w:r>
              <w:rPr>
                <w:sz w:val="21"/>
                <w:szCs w:val="21"/>
              </w:rPr>
              <w:t>[Security/Compliance Lead]</w:t>
            </w:r>
          </w:p>
          <w:p w14:paraId="0AB0482E">
            <w:pPr>
              <w:spacing w:after="160"/>
            </w:pPr>
            <w:r>
              <w:rPr>
                <w:b/>
                <w:bCs/>
                <w:color w:val="1C2B45"/>
                <w:sz w:val="21"/>
                <w:szCs w:val="21"/>
              </w:rPr>
              <w:t xml:space="preserve">Subject: </w:t>
            </w:r>
            <w:r>
              <w:rPr>
                <w:b/>
                <w:bCs/>
                <w:sz w:val="21"/>
                <w:szCs w:val="21"/>
              </w:rPr>
              <w:t>RE: Confirmation Needed — Media/Device Disposal Activity for [Audit Period]</w:t>
            </w:r>
          </w:p>
          <w:p w14:paraId="7B9157D1">
            <w:pPr>
              <w:spacing w:after="120"/>
            </w:pPr>
            <w:r>
              <w:rPr>
                <w:b w:val="0"/>
                <w:bCs w:val="0"/>
                <w:i w:val="0"/>
                <w:iCs w:val="0"/>
                <w:color w:val="222222"/>
                <w:sz w:val="21"/>
                <w:szCs w:val="21"/>
              </w:rPr>
              <w:t>Hi [Name],</w:t>
            </w:r>
          </w:p>
          <w:p w14:paraId="579DDB13">
            <w:pPr>
              <w:spacing w:after="120"/>
            </w:pPr>
            <w:r>
              <w:rPr>
                <w:b w:val="0"/>
                <w:bCs w:val="0"/>
                <w:i w:val="0"/>
                <w:iCs w:val="0"/>
                <w:color w:val="222222"/>
                <w:sz w:val="21"/>
                <w:szCs w:val="21"/>
              </w:rPr>
              <w:t>I reviewed our asset inventory for [Start Date] to [End Date]. No physical media or devices were disposed of, decommissioned, or destroyed during this period. Attached is an export from [Asset Inventory / CMDB Tool] confirming no disposal transactions were logged.</w:t>
            </w:r>
          </w:p>
          <w:p w14:paraId="134E959E">
            <w:pPr>
              <w:spacing w:after="120"/>
            </w:pPr>
            <w:r>
              <w:rPr>
                <w:b w:val="0"/>
                <w:bCs w:val="0"/>
                <w:i w:val="0"/>
                <w:iCs w:val="0"/>
                <w:color w:val="222222"/>
                <w:sz w:val="21"/>
                <w:szCs w:val="21"/>
              </w:rPr>
              <w:t>Based on this, the “Proof of media/device disposal” test can be marked Not Applicable for this period, supported by this thread and the attached asset log.</w:t>
            </w:r>
          </w:p>
          <w:p w14:paraId="5EEF72BD">
            <w:pPr>
              <w:spacing w:after="120"/>
            </w:pPr>
            <w:r>
              <w:rPr>
                <w:b w:val="0"/>
                <w:bCs w:val="0"/>
                <w:i w:val="0"/>
                <w:iCs w:val="0"/>
                <w:color w:val="222222"/>
                <w:sz w:val="21"/>
                <w:szCs w:val="21"/>
              </w:rPr>
              <w:t>Thanks,</w:t>
            </w:r>
          </w:p>
          <w:p w14:paraId="783EA8B6">
            <w:pPr>
              <w:spacing w:after="120"/>
            </w:pPr>
            <w:r>
              <w:rPr>
                <w:b w:val="0"/>
                <w:bCs w:val="0"/>
                <w:i w:val="0"/>
                <w:iCs w:val="0"/>
                <w:color w:val="222222"/>
                <w:sz w:val="21"/>
                <w:szCs w:val="21"/>
              </w:rPr>
              <w:t>[Name]</w:t>
            </w:r>
          </w:p>
        </w:tc>
      </w:tr>
    </w:tbl>
    <w:p w14:paraId="6DB36157">
      <w:pPr>
        <w:spacing w:after="200"/>
      </w:pPr>
    </w:p>
    <w:p w14:paraId="136D6578">
      <w:pPr>
        <w:pStyle w:val="2"/>
        <w:pBdr>
          <w:bottom w:val="none" w:color="FFFFFF" w:sz="0" w:space="0"/>
        </w:pBdr>
        <w:spacing w:before="320" w:after="160"/>
      </w:pPr>
      <w:r>
        <w:rPr>
          <w:b/>
          <w:bCs/>
          <w:color w:val="1C2B45"/>
          <w:sz w:val="26"/>
          <w:szCs w:val="26"/>
        </w:rPr>
        <w:t>Evidence Quality Checklist</w:t>
      </w:r>
    </w:p>
    <w:p w14:paraId="211CBE73">
      <w:pPr>
        <w:spacing w:after="120"/>
      </w:pPr>
      <w:r>
        <w:rPr>
          <w:b w:val="0"/>
          <w:bCs w:val="0"/>
          <w:i w:val="0"/>
          <w:iCs w:val="0"/>
          <w:color w:val="222222"/>
          <w:sz w:val="21"/>
          <w:szCs w:val="21"/>
        </w:rPr>
        <w:t>Confirm each item before filing this thread as final audit/[GRC platform] evidence:</w:t>
      </w:r>
    </w:p>
    <w:p w14:paraId="3A67EF33">
      <w:pPr>
        <w:spacing w:after="80"/>
      </w:pPr>
      <w:r>
        <w:rPr>
          <w:sz w:val="21"/>
          <w:szCs w:val="21"/>
        </w:rPr>
        <w:t>☐  Audit period is explicitly stated in the thread.</w:t>
      </w:r>
    </w:p>
    <w:p w14:paraId="745F9FA0">
      <w:pPr>
        <w:spacing w:after="80"/>
      </w:pPr>
      <w:r>
        <w:rPr>
          <w:sz w:val="21"/>
          <w:szCs w:val="21"/>
        </w:rPr>
        <w:t>☐  IT/Asset Owner confirmation is in writing (email), not verbal.</w:t>
      </w:r>
    </w:p>
    <w:p w14:paraId="3D048948">
      <w:pPr>
        <w:spacing w:after="80"/>
      </w:pPr>
      <w:r>
        <w:rPr>
          <w:sz w:val="21"/>
          <w:szCs w:val="21"/>
        </w:rPr>
        <w:t>☐  System-level evidence is attached (asset inventory / CMDB export), not just an email statement.</w:t>
      </w:r>
    </w:p>
    <w:p w14:paraId="2966646C">
      <w:pPr>
        <w:spacing w:after="80"/>
      </w:pPr>
      <w:r>
        <w:rPr>
          <w:sz w:val="21"/>
          <w:szCs w:val="21"/>
        </w:rPr>
        <w:t>☐  Confirmation covers the full audit period with no gaps.</w:t>
      </w:r>
    </w:p>
    <w:p w14:paraId="54E4694D">
      <w:pPr>
        <w:spacing w:after="80"/>
      </w:pPr>
      <w:r>
        <w:rPr>
          <w:sz w:val="21"/>
          <w:szCs w:val="21"/>
        </w:rPr>
        <w:t>☐  Framework and test name are referenced for traceability.</w:t>
      </w:r>
    </w:p>
    <w:p w14:paraId="2700D67E">
      <w:pPr>
        <w:spacing w:after="80"/>
      </w:pPr>
      <w:r>
        <w:rPr>
          <w:sz w:val="21"/>
          <w:szCs w:val="21"/>
        </w:rPr>
        <w:t>☐  Thread and attachment are stored in the evidence repository / [GRC platform].</w:t>
      </w:r>
    </w:p>
    <w:p w14:paraId="58646E70">
      <w:pPr>
        <w:spacing w:after="80"/>
      </w:pPr>
      <w:r>
        <w:rPr>
          <w:sz w:val="21"/>
          <w:szCs w:val="21"/>
        </w:rPr>
        <w:t>☐  No evidence is fabricated or backdated.</w:t>
      </w:r>
    </w:p>
    <w:p w14:paraId="09F869A0">
      <w:pPr>
        <w:spacing w:after="200"/>
      </w:pPr>
    </w:p>
    <w:p w14:paraId="656020F7">
      <w:pPr>
        <w:pStyle w:val="2"/>
        <w:pBdr>
          <w:bottom w:val="none" w:color="FFFFFF" w:sz="0" w:space="0"/>
        </w:pBdr>
        <w:spacing w:before="320" w:after="160"/>
      </w:pPr>
      <w:r>
        <w:rPr>
          <w:b/>
          <w:bCs/>
          <w:color w:val="1C2B45"/>
          <w:sz w:val="26"/>
          <w:szCs w:val="26"/>
        </w:rPr>
        <w:t>Usage Notes</w:t>
      </w:r>
    </w:p>
    <w:p w14:paraId="738E0B05">
      <w:pPr>
        <w:pStyle w:val="16"/>
        <w:numPr>
          <w:ilvl w:val="0"/>
          <w:numId w:val="1"/>
        </w:numPr>
        <w:spacing w:after="60"/>
      </w:pPr>
      <w:r>
        <w:rPr>
          <w:sz w:val="21"/>
          <w:szCs w:val="21"/>
        </w:rPr>
        <w:t>Replace all bracketed fields — [Organization Name], [Audit Period], [Framework], [Name] — before sending or filing.</w:t>
      </w:r>
    </w:p>
    <w:p w14:paraId="5A9D0E31">
      <w:pPr>
        <w:pStyle w:val="16"/>
        <w:numPr>
          <w:ilvl w:val="0"/>
          <w:numId w:val="1"/>
        </w:numPr>
        <w:spacing w:after="60"/>
      </w:pPr>
      <w:r>
        <w:rPr>
          <w:sz w:val="21"/>
          <w:szCs w:val="21"/>
        </w:rPr>
        <w:t>This template applies to any framework that accepts a Not Applicable determination for zero-activity controls (SOC 2, ISO/IEC 27001, HIPAA, PCI DSS, or others) — update the framework reference in Email 1 and the footer accordingly.</w:t>
      </w:r>
    </w:p>
    <w:p w14:paraId="57CF3FA2">
      <w:pPr>
        <w:pStyle w:val="16"/>
        <w:numPr>
          <w:ilvl w:val="0"/>
          <w:numId w:val="1"/>
        </w:numPr>
        <w:spacing w:after="60"/>
      </w:pPr>
      <w:r>
        <w:rPr>
          <w:sz w:val="21"/>
          <w:szCs w:val="21"/>
        </w:rPr>
        <w:t>If disposal activity did occur during the period, do not use this template — route the request through your organization's standard disposal register and certificate-of-destruction evidence process instead.</w:t>
      </w:r>
    </w:p>
    <w:sectPr>
      <w:headerReference r:id="rId3" w:type="default"/>
      <w:footerReference r:id="rId4" w:type="default"/>
      <w:headerReference w:type="first" r:id="rId8"/>
      <w:footerReference w:type="first" r:id="rId9"/>
      <w:headerReference w:type="even" r:id="rId10"/>
      <w:footerReference w:type="even" r:id="rId11"/>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FDACB">
    <w:pPr>
      <w:tabs>
        <w:tab w:val="right" w:pos="10080"/>
      </w:tabs>
    </w:pPr>
    <w:r>
      <w:rPr>
        <w:color w:val="5B6472"/>
        <w:sz w:val="15"/>
        <w:szCs w:val="15"/>
      </w:rPr>
      <w:t>[Organization Name]  |  [Applicable Framework]</w:t>
    </w:r>
    <w:r>
      <w:tab/>
    </w:r>
    <w:r>
      <w:rPr>
        <w:color w:val="5B6472"/>
        <w:sz w:val="15"/>
        <w:szCs w:val="15"/>
      </w:rPr>
      <w:t xml:space="preserve">Page </w:t>
    </w:r>
    <w:r>
      <w:rPr>
        <w:color w:val="5B6472"/>
        <w:sz w:val="15"/>
        <w:szCs w:val="15"/>
      </w:rPr>
      <w:fldChar w:fldCharType="begin"/>
    </w:r>
    <w:r>
      <w:rPr>
        <w:color w:val="5B6472"/>
        <w:sz w:val="15"/>
        <w:szCs w:val="15"/>
      </w:rPr>
      <w:instrText xml:space="preserve">PAGE</w:instrText>
    </w:r>
    <w:r>
      <w:rPr>
        <w:color w:val="5B6472"/>
        <w:sz w:val="15"/>
        <w:szCs w:val="15"/>
      </w:rPr>
      <w:fldChar w:fldCharType="separate"/>
    </w:r>
    <w:r>
      <w:rPr>
        <w:color w:val="5B6472"/>
        <w:sz w:val="15"/>
        <w:szCs w:val="15"/>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6C2E1">
    <w:pPr>
      <w:jc w:val="right"/>
    </w:pPr>
    <w:r>
      <w:rPr>
        <w:i/>
        <w:iCs/>
        <w:color w:val="5B6472"/>
        <w:sz w:val="15"/>
        <w:szCs w:val="15"/>
      </w:rPr>
      <w:t>CONFIDENTIAL — INTERNAL AUDIT EVIDENCE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CD813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678</Words>
  <Characters>3810</Characters>
  <TotalTime>0</TotalTime>
  <ScaleCrop>false</ScaleCrop>
  <LinksUpToDate>false</LinksUpToDate>
  <CharactersWithSpaces>4441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2026-08-19T16:06:00Z</dcterms:created>
  <dc:creator/>
  <cp:lastModifiedBy/>
  <dcterms:modified xsi:type="dcterms:W3CDTF">2026-08-19T16:11:16Z</dcterms:modified>
  <cp:revision>1</cp:revision>
  <dc:description/>
  <dc:title/>
  <dc:subject/>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eyJoZGlkIjoiYWNjOWU5NWMxNTI0ODU0NGNjYTYzNjI1YWVjMGM3YTAifQ==</vt:lpwstr>
  </property>
  <property fmtid="{D5CDD505-2E9C-101B-9397-08002B2CF9AE}" pid="3" name="KSOProductBuildVer">
    <vt:lpwstr>1033-12.1.0.28032</vt:lpwstr>
  </property>
  <property fmtid="{D5CDD505-2E9C-101B-9397-08002B2CF9AE}" pid="4" name="ICV">
    <vt:lpwstr>7ED5602D552C4AB9A0531B7E419CD0CC_12</vt:lpwstr>
  </property>
</Properties>
</file>