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Access Control Policy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how access to systems and data is requested, approved, provisioned, reviewed and removed so that only authorised users have appropriate access.</w:t>
      </w:r>
    </w:p>
    <w:p>
      <w:pPr>
        <w:pStyle w:val="Heading1"/>
      </w:pPr>
      <w:r>
        <w:t>2. Scope</w:t>
      </w:r>
    </w:p>
    <w:p>
      <w:r>
        <w:t>All production and corporate systems, applications, databases, cloud accounts and physical locations in scope.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System Owners</w:t>
            </w:r>
          </w:p>
        </w:tc>
        <w:tc>
          <w:tcPr>
            <w:tcW w:type="dxa" w:w="4873"/>
          </w:tcPr>
          <w:p>
            <w:r>
              <w:t>Approve access and perform access reviews.</w:t>
            </w:r>
          </w:p>
        </w:tc>
      </w:tr>
      <w:tr>
        <w:tc>
          <w:tcPr>
            <w:tcW w:type="dxa" w:w="4873"/>
          </w:tcPr>
          <w:p>
            <w:r>
              <w:t>IT / Engineering</w:t>
            </w:r>
          </w:p>
        </w:tc>
        <w:tc>
          <w:tcPr>
            <w:tcW w:type="dxa" w:w="4873"/>
          </w:tcPr>
          <w:p>
            <w:r>
              <w:t>Provision and remove access.</w:t>
            </w:r>
          </w:p>
        </w:tc>
      </w:tr>
      <w:tr>
        <w:tc>
          <w:tcPr>
            <w:tcW w:type="dxa" w:w="4873"/>
          </w:tcPr>
          <w:p>
            <w:r>
              <w:t>Managers</w:t>
            </w:r>
          </w:p>
        </w:tc>
        <w:tc>
          <w:tcPr>
            <w:tcW w:type="dxa" w:w="4873"/>
          </w:tcPr>
          <w:p>
            <w:r>
              <w:t>Request access for their reports and confirm changes.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Owns the policy and monitors compliance.</w:t>
            </w:r>
          </w:p>
        </w:tc>
      </w:tr>
    </w:tbl>
    <w:p/>
    <w:p>
      <w:pPr>
        <w:pStyle w:val="Heading1"/>
      </w:pPr>
      <w:r>
        <w:t>4. Policy requirements</w:t>
      </w:r>
    </w:p>
    <w:p>
      <w:pPr>
        <w:pStyle w:val="ListBullet"/>
      </w:pPr>
      <w:r>
        <w:t>Access is based on least privilege, need to know and role-based access control (RBAC).</w:t>
      </w:r>
    </w:p>
    <w:p>
      <w:pPr>
        <w:pStyle w:val="ListBullet"/>
      </w:pPr>
      <w:r>
        <w:t>Each user has a unique ID; shared and generic accounts are prohibited unless approved and controlled.</w:t>
      </w:r>
    </w:p>
    <w:p>
      <w:pPr>
        <w:pStyle w:val="ListBullet"/>
      </w:pPr>
      <w:r>
        <w:t>SSO with MFA is required wherever supported; MFA is mandatory for privileged, remote and production access.</w:t>
      </w:r>
    </w:p>
    <w:p>
      <w:pPr>
        <w:pStyle w:val="ListBullet"/>
      </w:pPr>
      <w:r>
        <w:t>Privileged access is limited to named individuals, granted through a separate approval, and logged.</w:t>
      </w:r>
    </w:p>
    <w:p>
      <w:pPr>
        <w:pStyle w:val="ListBullet"/>
      </w:pPr>
      <w:r>
        <w:t>Segregation of duties prevents the same person from requesting, approving and deploying the same change to production.</w:t>
      </w:r>
    </w:p>
    <w:p>
      <w:pPr>
        <w:pStyle w:val="ListBullet"/>
      </w:pPr>
      <w:r>
        <w:t>Service accounts and API keys have an owner, are stored in a secrets manager and are rotated at least [annually].</w:t>
      </w:r>
    </w:p>
    <w:p>
      <w:pPr>
        <w:pStyle w:val="Heading1"/>
      </w:pPr>
      <w:r>
        <w:t>5. Access lifecycle procedure</w:t>
      </w:r>
    </w:p>
    <w:p>
      <w:pPr>
        <w:ind w:left="340" w:hanging="340"/>
      </w:pPr>
      <w:r>
        <w:t>1. Joiner: the manager raises an access request ticket listing systems and roles; the system owner approves; IT provisions and records completion in the ticket.</w:t>
      </w:r>
    </w:p>
    <w:p>
      <w:pPr>
        <w:ind w:left="340" w:hanging="340"/>
      </w:pPr>
      <w:r>
        <w:t>2. Mover: access no longer needed for the new role is removed within [5] business days of the move.</w:t>
      </w:r>
    </w:p>
    <w:p>
      <w:pPr>
        <w:ind w:left="340" w:hanging="340"/>
      </w:pPr>
      <w:r>
        <w:t>3. Leaver: all access is revoked within [24 hours] of termination (privileged and sensitive data access immediately) using the termination checklist.</w:t>
      </w:r>
    </w:p>
    <w:p>
      <w:pPr>
        <w:ind w:left="340" w:hanging="340"/>
      </w:pPr>
      <w:r>
        <w:t>4. Access reviews: system owners review user and privileged access [quarterly] for production and sensitive systems and [semi-annually] for others; changes are actioned and evidenced.</w:t>
      </w:r>
    </w:p>
    <w:p>
      <w:pPr>
        <w:ind w:left="340" w:hanging="340"/>
      </w:pPr>
      <w:r>
        <w:t>5. Emergency access: break-glass accounts are sealed, use is alerted, reviewed within [1] business day and credentials rotated after use.</w:t>
      </w:r>
    </w:p>
    <w:p>
      <w:pPr>
        <w:pStyle w:val="Heading1"/>
      </w:pPr>
      <w:r>
        <w:t>6. Authentication standards</w:t>
      </w:r>
    </w:p>
    <w:p>
      <w:pPr>
        <w:pStyle w:val="ListBullet"/>
      </w:pPr>
      <w:r>
        <w:t>Passwords at least [12] characters; account lockout after [10] failed attempts.</w:t>
      </w:r>
    </w:p>
    <w:p>
      <w:pPr>
        <w:pStyle w:val="ListBullet"/>
      </w:pPr>
      <w:r>
        <w:t>Sessions time out after [15] minutes of inactivity for sensitive applications.</w:t>
      </w:r>
    </w:p>
    <w:p>
      <w:pPr>
        <w:pStyle w:val="ListBullet"/>
      </w:pPr>
      <w:r>
        <w:t>Default credentials are changed before systems go live.</w:t>
      </w:r>
    </w:p>
    <w:p>
      <w:pPr>
        <w:pStyle w:val="Heading1"/>
      </w:pPr>
      <w:r>
        <w:t>7.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8. Frequency and timing</w:t>
      </w:r>
    </w:p>
    <w:p>
      <w:r>
        <w:t>Policy reviewed annually; access reviews per the schedule above.</w:t>
      </w:r>
    </w:p>
    <w:p>
      <w:pPr>
        <w:pStyle w:val="Heading1"/>
      </w:pPr>
      <w:r>
        <w:t>9. Audit evidence checklist</w:t>
      </w:r>
    </w:p>
    <w:p>
      <w:r>
        <w:t>Retain the following so an auditor can test this control:</w:t>
      </w:r>
    </w:p>
    <w:p>
      <w:r>
        <w:t>☐  Access request tickets with approval for sampled joiners</w:t>
      </w:r>
    </w:p>
    <w:p>
      <w:r>
        <w:t>☐  Termination evidence showing timely revocation</w:t>
      </w:r>
    </w:p>
    <w:p>
      <w:r>
        <w:t>☐  Completed access reviews with actions</w:t>
      </w:r>
    </w:p>
    <w:p>
      <w:r>
        <w:t>☐  MFA configuration screenshots</w:t>
      </w:r>
    </w:p>
    <w:p>
      <w:r>
        <w:t>☐  Privileged user list</w:t>
      </w:r>
    </w:p>
    <w:p>
      <w:pPr>
        <w:pStyle w:val="Heading1"/>
      </w:pPr>
      <w:r>
        <w:t>10.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CC6.1, CC6.2, CC6.3, CC6.6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A.5.15 to A.5.18, A.8.2, A.8.5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164.308(a)(3), (a)(4), 164.312(a), (d)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25, 32</w:t>
            </w:r>
          </w:p>
        </w:tc>
      </w:tr>
    </w:tbl>
    <w:p/>
    <w:p>
      <w:pPr>
        <w:pStyle w:val="Heading1"/>
      </w:pPr>
      <w:r>
        <w:t>11.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