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Asset Management Policy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Ensures information assets are identified, owned, classified, protected and disposed of securely throughout their lifecycle.</w:t>
      </w:r>
    </w:p>
    <w:p>
      <w:pPr>
        <w:pStyle w:val="Heading1"/>
      </w:pPr>
      <w:r>
        <w:t>2. Scope</w:t>
      </w:r>
    </w:p>
    <w:p>
      <w:r>
        <w:t>Hardware, software, cloud resources, data stores, SaaS applications and information assets in scope.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Asset Owners</w:t>
            </w:r>
          </w:p>
        </w:tc>
        <w:tc>
          <w:tcPr>
            <w:tcW w:type="dxa" w:w="4873"/>
          </w:tcPr>
          <w:p>
            <w:r>
              <w:t>Accountable for classification and protection of their assets.</w:t>
            </w:r>
          </w:p>
        </w:tc>
      </w:tr>
      <w:tr>
        <w:tc>
          <w:tcPr>
            <w:tcW w:type="dxa" w:w="4873"/>
          </w:tcPr>
          <w:p>
            <w:r>
              <w:t>IT</w:t>
            </w:r>
          </w:p>
        </w:tc>
        <w:tc>
          <w:tcPr>
            <w:tcW w:type="dxa" w:w="4873"/>
          </w:tcPr>
          <w:p>
            <w:r>
              <w:t>Maintains the asset inventory and handles devices.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Owns the policy.</w:t>
            </w:r>
          </w:p>
        </w:tc>
      </w:tr>
    </w:tbl>
    <w:p/>
    <w:p>
      <w:pPr>
        <w:pStyle w:val="Heading1"/>
      </w:pPr>
      <w:r>
        <w:t>4. Policy requirements</w:t>
      </w:r>
    </w:p>
    <w:p>
      <w:pPr>
        <w:pStyle w:val="ListBullet"/>
      </w:pPr>
      <w:r>
        <w:t>An inventory of assets is maintained, including endpoints, servers and cloud resources, SaaS applications, and data stores holding Confidential or Restricted data.</w:t>
      </w:r>
    </w:p>
    <w:p>
      <w:pPr>
        <w:pStyle w:val="ListBullet"/>
      </w:pPr>
      <w:r>
        <w:t>Each asset has a named owner (role).</w:t>
      </w:r>
    </w:p>
    <w:p>
      <w:pPr>
        <w:pStyle w:val="ListBullet"/>
      </w:pPr>
      <w:r>
        <w:t>Information is classified as Public, Internal, Confidential or Restricted, and handling rules apply per classification.</w:t>
      </w:r>
    </w:p>
    <w:p>
      <w:pPr>
        <w:pStyle w:val="ListBullet"/>
      </w:pPr>
      <w:r>
        <w:t>Endpoints are enrolled in MDM with full-disk encryption, screen lock and endpoint protection before use.</w:t>
      </w:r>
    </w:p>
    <w:p>
      <w:pPr>
        <w:pStyle w:val="ListBullet"/>
      </w:pPr>
      <w:r>
        <w:t>Assets are returned on termination and recorded as returned.</w:t>
      </w:r>
    </w:p>
    <w:p>
      <w:pPr>
        <w:pStyle w:val="ListBullet"/>
      </w:pPr>
      <w:r>
        <w:t>Media and devices are sanitised or destroyed (NIST 800-88) before reuse or disposal, and a disposal record is kept.</w:t>
      </w:r>
    </w:p>
    <w:p>
      <w:pPr>
        <w:pStyle w:val="Heading1"/>
      </w:pPr>
      <w:r>
        <w:t>5. Inventory procedure</w:t>
      </w:r>
    </w:p>
    <w:p>
      <w:pPr>
        <w:ind w:left="340" w:hanging="340"/>
      </w:pPr>
      <w:r>
        <w:t>1. New assets are added to the inventory at purchase or provisioning.</w:t>
      </w:r>
    </w:p>
    <w:p>
      <w:pPr>
        <w:ind w:left="340" w:hanging="340"/>
      </w:pPr>
      <w:r>
        <w:t>2. The inventory is reconciled against MDM, cloud and SaaS sources at least [quarterly].</w:t>
      </w:r>
    </w:p>
    <w:p>
      <w:pPr>
        <w:ind w:left="340" w:hanging="340"/>
      </w:pPr>
      <w:r>
        <w:t>3. Lost or stolen devices are reported as security incidents and remotely wiped.</w:t>
      </w:r>
    </w:p>
    <w:p>
      <w:pPr>
        <w:pStyle w:val="Heading1"/>
      </w:pPr>
      <w:r>
        <w:t>6.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7. Frequency and timing</w:t>
      </w:r>
    </w:p>
    <w:p>
      <w:r>
        <w:t>Inventory reconciled quarterly; policy reviewed annually.</w:t>
      </w:r>
    </w:p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Current asset inventory with owners and classification</w:t>
      </w:r>
    </w:p>
    <w:p>
      <w:r>
        <w:t>☐  MDM report showing encryption</w:t>
      </w:r>
    </w:p>
    <w:p>
      <w:r>
        <w:t>☐  Asset return and disposal records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CC6.1, CC6.5, CC6.7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A.5.9 to A.5.14, A.7.10, A.7.14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164.310(d)</w:t>
            </w:r>
          </w:p>
        </w:tc>
      </w:tr>
    </w:tbl>
    <w:p/>
    <w:p>
      <w:pPr>
        <w:pStyle w:val="Heading1"/>
      </w:pPr>
      <w:r>
        <w:t>10.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 Management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