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Supervisory Authority Cooperation Procedure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Defines how the organisation cooperates with supervisory authorities.</w:t>
      </w:r>
    </w:p>
    <w:p>
      <w:pPr>
        <w:pStyle w:val="Heading1"/>
      </w:pPr>
      <w:r>
        <w:t>2. Scope</w:t>
      </w:r>
    </w:p>
    <w:p>
      <w:r>
        <w:t>Requests and inspections from data protection authorities.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Privacy Officer / DPO</w:t>
            </w:r>
          </w:p>
        </w:tc>
        <w:tc>
          <w:tcPr>
            <w:tcW w:type="dxa" w:w="4873"/>
          </w:tcPr>
          <w:p>
            <w:r>
              <w:t>Owns the record and advises.</w:t>
            </w:r>
          </w:p>
        </w:tc>
      </w:tr>
      <w:tr>
        <w:tc>
          <w:tcPr>
            <w:tcW w:type="dxa" w:w="4873"/>
          </w:tcPr>
          <w:p>
            <w:r>
              <w:t>Legal</w:t>
            </w:r>
          </w:p>
        </w:tc>
        <w:tc>
          <w:tcPr>
            <w:tcW w:type="dxa" w:w="4873"/>
          </w:tcPr>
          <w:p>
            <w:r>
              <w:t>Reviews legal positions.</w:t>
            </w:r>
          </w:p>
        </w:tc>
      </w:tr>
    </w:tbl>
    <w:p/>
    <w:p>
      <w:pPr>
        <w:pStyle w:val="Heading1"/>
      </w:pPr>
      <w:r>
        <w:t>4. Procedure</w:t>
      </w:r>
    </w:p>
    <w:p>
      <w:pPr>
        <w:ind w:left="340" w:hanging="340"/>
      </w:pPr>
      <w:r>
        <w:t>1. Route all regulator contact to the DPO/Privacy Officer.</w:t>
      </w:r>
    </w:p>
    <w:p>
      <w:pPr>
        <w:ind w:left="340" w:hanging="340"/>
      </w:pPr>
      <w:r>
        <w:t>2. Acknowledge within [2] business days.</w:t>
      </w:r>
    </w:p>
    <w:p>
      <w:pPr>
        <w:ind w:left="340" w:hanging="340"/>
      </w:pPr>
      <w:r>
        <w:t>3. Gather requested records (ROPA, DPIAs, policies).</w:t>
      </w:r>
    </w:p>
    <w:p>
      <w:pPr>
        <w:ind w:left="340" w:hanging="340"/>
      </w:pPr>
      <w:r>
        <w:t>4. Respond by the deadline with Legal review.</w:t>
      </w:r>
    </w:p>
    <w:p>
      <w:pPr>
        <w:ind w:left="340" w:hanging="340"/>
      </w:pPr>
      <w:r>
        <w:t>5. Log all correspondence.</w:t>
      </w:r>
    </w:p>
    <w:p>
      <w:pPr>
        <w:pStyle w:val="Heading1"/>
      </w:pPr>
      <w:r>
        <w:t>5. Frequency and timing</w:t>
      </w:r>
    </w:p>
    <w:p>
      <w:r>
        <w:t>Each request.</w:t>
      </w:r>
    </w:p>
    <w:p>
      <w:pPr>
        <w:pStyle w:val="Heading1"/>
      </w:pPr>
      <w:r>
        <w:t>6. Audit evidence checklist</w:t>
      </w:r>
    </w:p>
    <w:p>
      <w:r>
        <w:t>Retain the following so an auditor can test this control:</w:t>
      </w:r>
    </w:p>
    <w:p>
      <w:r>
        <w:t>☐  Correspondence log</w:t>
      </w:r>
    </w:p>
    <w:p>
      <w:pPr>
        <w:pStyle w:val="Heading1"/>
      </w:pPr>
      <w:r>
        <w:t>7.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31, 58</w:t>
            </w:r>
          </w:p>
        </w:tc>
      </w:tr>
    </w:tbl>
    <w:p/>
    <w:p>
      <w:pPr>
        <w:pStyle w:val="Heading1"/>
      </w:pPr>
      <w:r>
        <w:t>8.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Supervisory Authority Cooperation Procedure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