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5B21B6"/>
          <w:sz w:val="40"/>
        </w:rPr>
        <w:t>Business Continuity and Disaster Recovery Plan</w:t>
      </w:r>
    </w:p>
    <w:p>
      <w:r>
        <w:rPr>
          <w:i/>
        </w:rPr>
        <w:t>[Organisation Name]</w:t>
      </w:r>
    </w:p>
    <w:p>
      <w:pPr>
        <w:pStyle w:val="Heading1"/>
      </w:pPr>
      <w:r>
        <w:t>Document control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val="clear" w:color="auto" w:fill="EDE9FE"/>
          </w:tcPr>
          <w:p>
            <w:r>
              <w:rPr>
                <w:b/>
              </w:rPr>
              <w:t>Version</w:t>
            </w:r>
          </w:p>
        </w:tc>
        <w:tc>
          <w:tcPr>
            <w:tcW w:type="dxa" w:w="4873"/>
          </w:tcPr>
          <w:p>
            <w:r>
              <w:t>[x.x]</w:t>
            </w:r>
          </w:p>
        </w:tc>
      </w:tr>
      <w:tr>
        <w:tc>
          <w:tcPr>
            <w:tcW w:type="dxa" w:w="4873"/>
            <w:shd w:val="clear" w:color="auto" w:fill="EDE9FE"/>
          </w:tcPr>
          <w:p>
            <w:r>
              <w:rPr>
                <w:b/>
              </w:rPr>
              <w:t>Document owner</w:t>
            </w:r>
          </w:p>
        </w:tc>
        <w:tc>
          <w:tcPr>
            <w:tcW w:type="dxa" w:w="4873"/>
          </w:tcPr>
          <w:p>
            <w:r>
              <w:t>[Role]</w:t>
            </w:r>
          </w:p>
        </w:tc>
      </w:tr>
      <w:tr>
        <w:tc>
          <w:tcPr>
            <w:tcW w:type="dxa" w:w="4873"/>
            <w:shd w:val="clear" w:color="auto" w:fill="EDE9FE"/>
          </w:tcPr>
          <w:p>
            <w:r>
              <w:rPr>
                <w:b/>
              </w:rPr>
              <w:t>Approver</w:t>
            </w:r>
          </w:p>
        </w:tc>
        <w:tc>
          <w:tcPr>
            <w:tcW w:type="dxa" w:w="4873"/>
          </w:tcPr>
          <w:p>
            <w:r>
              <w:t>[Role]</w:t>
            </w:r>
          </w:p>
        </w:tc>
      </w:tr>
      <w:tr>
        <w:tc>
          <w:tcPr>
            <w:tcW w:type="dxa" w:w="4873"/>
            <w:shd w:val="clear" w:color="auto" w:fill="EDE9FE"/>
          </w:tcPr>
          <w:p>
            <w:r>
              <w:rPr>
                <w:b/>
              </w:rPr>
              <w:t>Effective date</w:t>
            </w:r>
          </w:p>
        </w:tc>
        <w:tc>
          <w:tcPr>
            <w:tcW w:type="dxa" w:w="4873"/>
          </w:tcPr>
          <w:p>
            <w:r>
              <w:t>[YYYY-MM-DD]</w:t>
            </w:r>
          </w:p>
        </w:tc>
      </w:tr>
      <w:tr>
        <w:tc>
          <w:tcPr>
            <w:tcW w:type="dxa" w:w="4873"/>
            <w:shd w:val="clear" w:color="auto" w:fill="EDE9FE"/>
          </w:tcPr>
          <w:p>
            <w:r>
              <w:rPr>
                <w:b/>
              </w:rPr>
              <w:t>Next review date</w:t>
            </w:r>
          </w:p>
        </w:tc>
        <w:tc>
          <w:tcPr>
            <w:tcW w:type="dxa" w:w="4873"/>
          </w:tcPr>
          <w:p>
            <w:r>
              <w:t>[YYYY-MM-DD]</w:t>
            </w:r>
          </w:p>
        </w:tc>
      </w:tr>
      <w:tr>
        <w:tc>
          <w:tcPr>
            <w:tcW w:type="dxa" w:w="4873"/>
            <w:shd w:val="clear" w:color="auto" w:fill="EDE9FE"/>
          </w:tcPr>
          <w:p>
            <w:r>
              <w:rPr>
                <w:b/>
              </w:rPr>
              <w:t>Classification</w:t>
            </w:r>
          </w:p>
        </w:tc>
        <w:tc>
          <w:tcPr>
            <w:tcW w:type="dxa" w:w="4873"/>
          </w:tcPr>
          <w:p>
            <w:r>
              <w:t>Internal</w:t>
            </w:r>
          </w:p>
        </w:tc>
      </w:tr>
    </w:tbl>
    <w:p/>
    <w:p>
      <w:pPr>
        <w:pStyle w:val="Heading1"/>
      </w:pPr>
      <w:r>
        <w:t>1. Purpose</w:t>
      </w:r>
    </w:p>
    <w:p>
      <w:r>
        <w:t>Ensures critical services and data can be recovered within agreed objectives after a disruption, and that the organisation can continue essential operations.</w:t>
      </w:r>
    </w:p>
    <w:p>
      <w:pPr>
        <w:pStyle w:val="Heading1"/>
      </w:pPr>
      <w:r>
        <w:t>2. Scope</w:t>
      </w:r>
    </w:p>
    <w:p>
      <w:r>
        <w:t>Critical business processes, production systems, data and supporting suppliers in scope.</w:t>
      </w:r>
    </w:p>
    <w:p>
      <w:pPr>
        <w:pStyle w:val="Heading1"/>
      </w:pPr>
      <w:r>
        <w:t>3. Roles and responsibilities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Role</w:t>
            </w:r>
          </w:p>
        </w:tc>
        <w:tc>
          <w:tcPr>
            <w:tcW w:type="dxa" w:w="4873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Responsibilities</w:t>
            </w:r>
          </w:p>
        </w:tc>
      </w:tr>
      <w:tr>
        <w:tc>
          <w:tcPr>
            <w:tcW w:type="dxa" w:w="4873"/>
          </w:tcPr>
          <w:p>
            <w:r>
              <w:t>BCDR Owner (CTO / COO)</w:t>
            </w:r>
          </w:p>
        </w:tc>
        <w:tc>
          <w:tcPr>
            <w:tcW w:type="dxa" w:w="4873"/>
          </w:tcPr>
          <w:p>
            <w:r>
              <w:t>Owns the plan and declares a disaster.</w:t>
            </w:r>
          </w:p>
        </w:tc>
      </w:tr>
      <w:tr>
        <w:tc>
          <w:tcPr>
            <w:tcW w:type="dxa" w:w="4873"/>
          </w:tcPr>
          <w:p>
            <w:r>
              <w:t>Recovery Team</w:t>
            </w:r>
          </w:p>
        </w:tc>
        <w:tc>
          <w:tcPr>
            <w:tcW w:type="dxa" w:w="4873"/>
          </w:tcPr>
          <w:p>
            <w:r>
              <w:t>Executes technical recovery.</w:t>
            </w:r>
          </w:p>
        </w:tc>
      </w:tr>
      <w:tr>
        <w:tc>
          <w:tcPr>
            <w:tcW w:type="dxa" w:w="4873"/>
          </w:tcPr>
          <w:p>
            <w:r>
              <w:t>Communications Lead</w:t>
            </w:r>
          </w:p>
        </w:tc>
        <w:tc>
          <w:tcPr>
            <w:tcW w:type="dxa" w:w="4873"/>
          </w:tcPr>
          <w:p>
            <w:r>
              <w:t>Informs staff, customers and regulators.</w:t>
            </w:r>
          </w:p>
        </w:tc>
      </w:tr>
      <w:tr>
        <w:tc>
          <w:tcPr>
            <w:tcW w:type="dxa" w:w="4873"/>
          </w:tcPr>
          <w:p>
            <w:r>
              <w:t>All staff</w:t>
            </w:r>
          </w:p>
        </w:tc>
        <w:tc>
          <w:tcPr>
            <w:tcW w:type="dxa" w:w="4873"/>
          </w:tcPr>
          <w:p>
            <w:r>
              <w:t>Know how to be contacted and where to work.</w:t>
            </w:r>
          </w:p>
        </w:tc>
      </w:tr>
    </w:tbl>
    <w:p/>
    <w:p>
      <w:pPr>
        <w:pStyle w:val="Heading1"/>
      </w:pPr>
      <w:r>
        <w:t>4. Business impact analysis</w:t>
      </w:r>
    </w:p>
    <w:p>
      <w:pPr>
        <w:pStyle w:val="ListBullet"/>
      </w:pPr>
      <w:r>
        <w:t>List critical processes and systems with their Recovery Time Objective (RTO) and Recovery Point Objective (RPO): e.g. production platform RTO [4h], RPO [1h]; corporate email RTO [24h].</w:t>
      </w:r>
    </w:p>
    <w:p>
      <w:pPr>
        <w:pStyle w:val="ListBullet"/>
      </w:pPr>
      <w:r>
        <w:t>Identify dependencies: cloud provider regions, identity provider, payment processor, key staff.</w:t>
      </w:r>
    </w:p>
    <w:p>
      <w:pPr>
        <w:pStyle w:val="Heading1"/>
      </w:pPr>
      <w:r>
        <w:t>5. Continuity strategies</w:t>
      </w:r>
    </w:p>
    <w:p>
      <w:pPr>
        <w:pStyle w:val="ListBullet"/>
      </w:pPr>
      <w:r>
        <w:t>Infrastructure is deployed across [multiple availability zones / regions] with infrastructure as code.</w:t>
      </w:r>
    </w:p>
    <w:p>
      <w:pPr>
        <w:pStyle w:val="ListBullet"/>
      </w:pPr>
      <w:r>
        <w:t>Backups are encrypted, taken [daily], stored in a separate account/region and retained for [35] days.</w:t>
      </w:r>
    </w:p>
    <w:p>
      <w:pPr>
        <w:pStyle w:val="ListBullet"/>
      </w:pPr>
      <w:r>
        <w:t>Staff can work remotely using cloud tools if offices are unavailable.</w:t>
      </w:r>
    </w:p>
    <w:p>
      <w:pPr>
        <w:pStyle w:val="ListBullet"/>
      </w:pPr>
      <w:r>
        <w:t>Critical suppliers have documented alternatives or exit plans.</w:t>
      </w:r>
    </w:p>
    <w:p>
      <w:pPr>
        <w:pStyle w:val="Heading1"/>
      </w:pPr>
      <w:r>
        <w:t>6. Recovery procedure</w:t>
      </w:r>
    </w:p>
    <w:p>
      <w:pPr>
        <w:ind w:left="340" w:hanging="340"/>
      </w:pPr>
      <w:r>
        <w:t>1. Detect and assess the event; the BCDR Owner decides whether to invoke the plan.</w:t>
      </w:r>
    </w:p>
    <w:p>
      <w:pPr>
        <w:ind w:left="340" w:hanging="340"/>
      </w:pPr>
      <w:r>
        <w:t>2. Activate the recovery team and communication tree.</w:t>
      </w:r>
    </w:p>
    <w:p>
      <w:pPr>
        <w:ind w:left="340" w:hanging="340"/>
      </w:pPr>
      <w:r>
        <w:t>3. Communicate status to staff and, where impacted, customers (status page) within [1 hour].</w:t>
      </w:r>
    </w:p>
    <w:p>
      <w:pPr>
        <w:ind w:left="340" w:hanging="340"/>
      </w:pPr>
      <w:r>
        <w:t>4. Restore services in priority order using runbooks; restore data from the most recent verified backup.</w:t>
      </w:r>
    </w:p>
    <w:p>
      <w:pPr>
        <w:ind w:left="340" w:hanging="340"/>
      </w:pPr>
      <w:r>
        <w:t>5. Validate integrity and functionality before returning to normal operations.</w:t>
      </w:r>
    </w:p>
    <w:p>
      <w:pPr>
        <w:ind w:left="340" w:hanging="340"/>
      </w:pPr>
      <w:r>
        <w:t>6. Hold a post-incident review and update the plan.</w:t>
      </w:r>
    </w:p>
    <w:p>
      <w:pPr>
        <w:pStyle w:val="Heading1"/>
      </w:pPr>
      <w:r>
        <w:t>7. Testing</w:t>
      </w:r>
    </w:p>
    <w:p>
      <w:pPr>
        <w:pStyle w:val="ListBullet"/>
      </w:pPr>
      <w:r>
        <w:t>The plan is tested at least annually via tabletop exercise and a technical restore or failover test.</w:t>
      </w:r>
    </w:p>
    <w:p>
      <w:pPr>
        <w:pStyle w:val="ListBullet"/>
      </w:pPr>
      <w:r>
        <w:t>Results, gaps and actions are documented and tracked to closure.</w:t>
      </w:r>
    </w:p>
    <w:p>
      <w:pPr>
        <w:pStyle w:val="Heading1"/>
      </w:pPr>
      <w:r>
        <w:t>8. Frequency and timing</w:t>
      </w:r>
    </w:p>
    <w:p>
      <w:r>
        <w:t>Tested and reviewed at least annually and after major changes.</w:t>
      </w:r>
    </w:p>
    <w:p>
      <w:pPr>
        <w:pStyle w:val="Heading1"/>
      </w:pPr>
      <w:r>
        <w:t>9. Audit evidence checklist</w:t>
      </w:r>
    </w:p>
    <w:p>
      <w:r>
        <w:t>Retain the following so an auditor can test this control:</w:t>
      </w:r>
    </w:p>
    <w:p>
      <w:r>
        <w:t>☐  Approved plan with RTO/RPO</w:t>
      </w:r>
    </w:p>
    <w:p>
      <w:r>
        <w:t>☐  Annual test report with results and actions</w:t>
      </w:r>
    </w:p>
    <w:p>
      <w:r>
        <w:t>☐  Backup and restore evidence</w:t>
      </w:r>
    </w:p>
    <w:p>
      <w:r>
        <w:t>☐  Contact list current within 12 months</w:t>
      </w:r>
    </w:p>
    <w:p>
      <w:pPr>
        <w:pStyle w:val="Heading1"/>
      </w:pPr>
      <w:r>
        <w:t>10. Framework mapping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Framework</w:t>
            </w:r>
          </w:p>
        </w:tc>
        <w:tc>
          <w:tcPr>
            <w:tcW w:type="dxa" w:w="4873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Reference</w:t>
            </w:r>
          </w:p>
        </w:tc>
      </w:tr>
      <w:tr>
        <w:tc>
          <w:tcPr>
            <w:tcW w:type="dxa" w:w="4873"/>
          </w:tcPr>
          <w:p>
            <w:r>
              <w:t>SOC 2</w:t>
            </w:r>
          </w:p>
        </w:tc>
        <w:tc>
          <w:tcPr>
            <w:tcW w:type="dxa" w:w="4873"/>
          </w:tcPr>
          <w:p>
            <w:r>
              <w:t>A1.2, A1.3, CC7.5, CC9.1</w:t>
            </w:r>
          </w:p>
        </w:tc>
      </w:tr>
      <w:tr>
        <w:tc>
          <w:tcPr>
            <w:tcW w:type="dxa" w:w="4873"/>
          </w:tcPr>
          <w:p>
            <w:r>
              <w:t>ISO 27001</w:t>
            </w:r>
          </w:p>
        </w:tc>
        <w:tc>
          <w:tcPr>
            <w:tcW w:type="dxa" w:w="4873"/>
          </w:tcPr>
          <w:p>
            <w:r>
              <w:t>A.5.29, A.5.30, A.8.13, A.8.14</w:t>
            </w:r>
          </w:p>
        </w:tc>
      </w:tr>
      <w:tr>
        <w:tc>
          <w:tcPr>
            <w:tcW w:type="dxa" w:w="4873"/>
          </w:tcPr>
          <w:p>
            <w:r>
              <w:t>HIPAA</w:t>
            </w:r>
          </w:p>
        </w:tc>
        <w:tc>
          <w:tcPr>
            <w:tcW w:type="dxa" w:w="4873"/>
          </w:tcPr>
          <w:p>
            <w:r>
              <w:t>164.308(a)(7)</w:t>
            </w:r>
          </w:p>
        </w:tc>
      </w:tr>
      <w:tr>
        <w:tc>
          <w:tcPr>
            <w:tcW w:type="dxa" w:w="4873"/>
          </w:tcPr>
          <w:p>
            <w:r>
              <w:t>GDPR</w:t>
            </w:r>
          </w:p>
        </w:tc>
        <w:tc>
          <w:tcPr>
            <w:tcW w:type="dxa" w:w="4873"/>
          </w:tcPr>
          <w:p>
            <w:r>
              <w:t>Art. 32(1)(b), (c)</w:t>
            </w:r>
          </w:p>
        </w:tc>
      </w:tr>
    </w:tbl>
    <w:p/>
    <w:p>
      <w:pPr>
        <w:pStyle w:val="Heading1"/>
      </w:pPr>
      <w:r>
        <w:t>11. Review and approval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Role</w:t>
            </w:r>
          </w:p>
        </w:tc>
        <w:tc>
          <w:tcPr>
            <w:tcW w:type="dxa" w:w="2436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Name</w:t>
            </w:r>
          </w:p>
        </w:tc>
        <w:tc>
          <w:tcPr>
            <w:tcW w:type="dxa" w:w="2436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Signature</w:t>
            </w:r>
          </w:p>
        </w:tc>
        <w:tc>
          <w:tcPr>
            <w:tcW w:type="dxa" w:w="2436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Date</w:t>
            </w:r>
          </w:p>
        </w:tc>
      </w:tr>
      <w:tr>
        <w:tc>
          <w:tcPr>
            <w:tcW w:type="dxa" w:w="2436"/>
          </w:tcPr>
          <w:p>
            <w:r>
              <w:t>Prepared by</w:t>
            </w:r>
          </w:p>
        </w:tc>
        <w:tc>
          <w:tcPr>
            <w:tcW w:type="dxa" w:w="2436"/>
          </w:tcPr>
          <w:p>
            <w:r/>
          </w:p>
        </w:tc>
        <w:tc>
          <w:tcPr>
            <w:tcW w:type="dxa" w:w="2436"/>
          </w:tcPr>
          <w:p>
            <w:r/>
          </w:p>
        </w:tc>
        <w:tc>
          <w:tcPr>
            <w:tcW w:type="dxa" w:w="2436"/>
          </w:tcPr>
          <w:p>
            <w:r/>
          </w:p>
        </w:tc>
      </w:tr>
      <w:tr>
        <w:tc>
          <w:tcPr>
            <w:tcW w:type="dxa" w:w="2436"/>
          </w:tcPr>
          <w:p>
            <w:r>
              <w:t>Reviewed by</w:t>
            </w:r>
          </w:p>
        </w:tc>
        <w:tc>
          <w:tcPr>
            <w:tcW w:type="dxa" w:w="2436"/>
          </w:tcPr>
          <w:p>
            <w:r/>
          </w:p>
        </w:tc>
        <w:tc>
          <w:tcPr>
            <w:tcW w:type="dxa" w:w="2436"/>
          </w:tcPr>
          <w:p>
            <w:r/>
          </w:p>
        </w:tc>
        <w:tc>
          <w:tcPr>
            <w:tcW w:type="dxa" w:w="2436"/>
          </w:tcPr>
          <w:p>
            <w:r/>
          </w:p>
        </w:tc>
      </w:tr>
      <w:tr>
        <w:tc>
          <w:tcPr>
            <w:tcW w:type="dxa" w:w="2436"/>
          </w:tcPr>
          <w:p>
            <w:r>
              <w:t>Approved by</w:t>
            </w:r>
          </w:p>
        </w:tc>
        <w:tc>
          <w:tcPr>
            <w:tcW w:type="dxa" w:w="2436"/>
          </w:tcPr>
          <w:p>
            <w:r/>
          </w:p>
        </w:tc>
        <w:tc>
          <w:tcPr>
            <w:tcW w:type="dxa" w:w="2436"/>
          </w:tcPr>
          <w:p>
            <w:r/>
          </w:p>
        </w:tc>
        <w:tc>
          <w:tcPr>
            <w:tcW w:type="dxa" w:w="2436"/>
          </w:tcPr>
          <w:p>
            <w:r/>
          </w:p>
        </w:tc>
      </w:tr>
    </w:tbl>
    <w:p/>
    <w:p>
      <w:r>
        <w:rPr>
          <w:b/>
        </w:rPr>
        <w:t>Revision history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Version</w:t>
            </w:r>
          </w:p>
        </w:tc>
        <w:tc>
          <w:tcPr>
            <w:tcW w:type="dxa" w:w="2436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Date</w:t>
            </w:r>
          </w:p>
        </w:tc>
        <w:tc>
          <w:tcPr>
            <w:tcW w:type="dxa" w:w="2436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Author</w:t>
            </w:r>
          </w:p>
        </w:tc>
        <w:tc>
          <w:tcPr>
            <w:tcW w:type="dxa" w:w="2436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Description of change</w:t>
            </w:r>
          </w:p>
        </w:tc>
      </w:tr>
      <w:tr>
        <w:tc>
          <w:tcPr>
            <w:tcW w:type="dxa" w:w="2436"/>
          </w:tcPr>
          <w:p>
            <w:r>
              <w:t>1.0</w:t>
            </w:r>
          </w:p>
        </w:tc>
        <w:tc>
          <w:tcPr>
            <w:tcW w:type="dxa" w:w="2436"/>
          </w:tcPr>
          <w:p>
            <w:r>
              <w:t>[YYYY-MM-DD]</w:t>
            </w:r>
          </w:p>
        </w:tc>
        <w:tc>
          <w:tcPr>
            <w:tcW w:type="dxa" w:w="2436"/>
          </w:tcPr>
          <w:p>
            <w:r>
              <w:t>[Role]</w:t>
            </w:r>
          </w:p>
        </w:tc>
        <w:tc>
          <w:tcPr>
            <w:tcW w:type="dxa" w:w="2436"/>
          </w:tcPr>
          <w:p>
            <w:r>
              <w:t>Initial version</w:t>
            </w:r>
          </w:p>
        </w:tc>
      </w:tr>
    </w:tbl>
    <w:p/>
    <w:sectPr w:rsidR="00FC693F" w:rsidRPr="0006063C" w:rsidSect="00034616">
      <w:footerReference w:type="default" r:id="rId9"/>
      <w:pgSz w:w="12240" w:h="15840"/>
      <w:pgMar w:top="1440" w:right="1247" w:bottom="1440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sz w:val="16"/>
      </w:rPr>
      <w:t>Template provided by OneLens by Ruchi. Replace all [bracketed] fields before use.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5B21B6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5B21B6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Business Continuity and Disaster Recovery Plan</dc:title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