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Cryptography Policy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Defines the use of encryption and key management to protect the confidentiality and integrity of information.</w:t>
      </w:r>
    </w:p>
    <w:p>
      <w:pPr>
        <w:pStyle w:val="Heading1"/>
      </w:pPr>
      <w:r>
        <w:t>2. Scope</w:t>
      </w:r>
    </w:p>
    <w:p>
      <w:r>
        <w:t>All systems that store, process or transmit Confidential or Restricted data, including backups and endpoints.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Engineering</w:t>
            </w:r>
          </w:p>
        </w:tc>
        <w:tc>
          <w:tcPr>
            <w:tcW w:type="dxa" w:w="4873"/>
          </w:tcPr>
          <w:p>
            <w:r>
              <w:t>Implements encryption and key management.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Approves algorithms and exceptions.</w:t>
            </w:r>
          </w:p>
        </w:tc>
      </w:tr>
    </w:tbl>
    <w:p/>
    <w:p>
      <w:pPr>
        <w:pStyle w:val="Heading1"/>
      </w:pPr>
      <w:r>
        <w:t>4. Encryption requirements</w:t>
      </w:r>
    </w:p>
    <w:p>
      <w:pPr>
        <w:pStyle w:val="ListBullet"/>
      </w:pPr>
      <w:r>
        <w:t>Data in transit over public networks uses TLS 1.2 or higher with strong cipher suites; TLS 1.0/1.1 and SSL are disabled.</w:t>
      </w:r>
    </w:p>
    <w:p>
      <w:pPr>
        <w:pStyle w:val="ListBullet"/>
      </w:pPr>
      <w:r>
        <w:t>Data at rest in databases, object storage, backups and endpoints is encrypted with AES-256 or equivalent.</w:t>
      </w:r>
    </w:p>
    <w:p>
      <w:pPr>
        <w:pStyle w:val="ListBullet"/>
      </w:pPr>
      <w:r>
        <w:t>Passwords are stored using a strong adaptive hashing algorithm (bcrypt, scrypt or Argon2).</w:t>
      </w:r>
    </w:p>
    <w:p>
      <w:pPr>
        <w:pStyle w:val="ListBullet"/>
      </w:pPr>
      <w:r>
        <w:t>Approved algorithms: AES-256, RSA 2048+ / ECC P-256+, SHA-256+. Deprecated: MD5, SHA-1, DES, 3DES, RC4.</w:t>
      </w:r>
    </w:p>
    <w:p>
      <w:pPr>
        <w:pStyle w:val="Heading1"/>
      </w:pPr>
      <w:r>
        <w:t>5. Key management</w:t>
      </w:r>
    </w:p>
    <w:p>
      <w:pPr>
        <w:pStyle w:val="ListBullet"/>
      </w:pPr>
      <w:r>
        <w:t>Keys are generated and stored in a managed KMS or HSM; keys are never stored in source code.</w:t>
      </w:r>
    </w:p>
    <w:p>
      <w:pPr>
        <w:pStyle w:val="ListBullet"/>
      </w:pPr>
      <w:r>
        <w:t>Access to keys is restricted to authorised services and personnel and is logged.</w:t>
      </w:r>
    </w:p>
    <w:p>
      <w:pPr>
        <w:pStyle w:val="ListBullet"/>
      </w:pPr>
      <w:r>
        <w:t>Keys are rotated at least [annually] or on suspected compromise.</w:t>
      </w:r>
    </w:p>
    <w:p>
      <w:pPr>
        <w:pStyle w:val="ListBullet"/>
      </w:pPr>
      <w:r>
        <w:t>Certificates are tracked with expiry monitoring and renewed before expiry.</w:t>
      </w:r>
    </w:p>
    <w:p>
      <w:pPr>
        <w:pStyle w:val="ListBullet"/>
      </w:pPr>
      <w:r>
        <w:t>Retired keys are destroyed securely when no longer needed for decryption.</w:t>
      </w:r>
    </w:p>
    <w:p>
      <w:pPr>
        <w:pStyle w:val="Heading1"/>
      </w:pPr>
      <w:r>
        <w:t>6. Exceptions and enforcement</w:t>
      </w:r>
    </w:p>
    <w:p>
      <w:pPr>
        <w:pStyle w:val="ListBullet"/>
      </w:pPr>
      <w:r>
        <w:t>Exceptions require a documented business justification, a risk assessment and approval by the Security Lead; approved exceptions are recorded in the exception register with an expiry date.</w:t>
      </w:r>
    </w:p>
    <w:p>
      <w:pPr>
        <w:pStyle w:val="ListBullet"/>
      </w:pPr>
      <w:r>
        <w:t>Violations may result in disciplinary action up to and including termination of employment or contract, and may be reported to authorities where required by law.</w:t>
      </w:r>
    </w:p>
    <w:p>
      <w:pPr>
        <w:pStyle w:val="Heading1"/>
      </w:pPr>
      <w:r>
        <w:t>7. Frequency and timing</w:t>
      </w:r>
    </w:p>
    <w:p>
      <w:r>
        <w:t>Reviewed annually.</w:t>
      </w:r>
    </w:p>
    <w:p>
      <w:pPr>
        <w:pStyle w:val="Heading1"/>
      </w:pPr>
      <w:r>
        <w:t>8. Audit evidence checklist</w:t>
      </w:r>
    </w:p>
    <w:p>
      <w:r>
        <w:t>Retain the following so an auditor can test this control:</w:t>
      </w:r>
    </w:p>
    <w:p>
      <w:r>
        <w:t>☐  Encryption configuration screenshots (databases, storage, backups)</w:t>
      </w:r>
    </w:p>
    <w:p>
      <w:r>
        <w:t>☐  TLS scan results</w:t>
      </w:r>
    </w:p>
    <w:p>
      <w:r>
        <w:t>☐  KMS key rotation settings</w:t>
      </w:r>
    </w:p>
    <w:p>
      <w:r>
        <w:t>☐  Secrets manager in use</w:t>
      </w:r>
    </w:p>
    <w:p>
      <w:pPr>
        <w:pStyle w:val="Heading1"/>
      </w:pPr>
      <w:r>
        <w:t>9.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CC6.1, CC6.7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A.8.24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164.312(a)(2)(iv), (e)(2)(ii)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32(1)(a)</w:t>
            </w:r>
          </w:p>
        </w:tc>
      </w:tr>
    </w:tbl>
    <w:p/>
    <w:p>
      <w:pPr>
        <w:pStyle w:val="Heading1"/>
      </w:pPr>
      <w:r>
        <w:t>10.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Cryptography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