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Data Management and Retention Policy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Defines how data is classified, handled, retained and securely deleted in line with legal, contractual and business requirements.</w:t>
      </w:r>
    </w:p>
    <w:p>
      <w:pPr>
        <w:pStyle w:val="Heading1"/>
      </w:pPr>
      <w:r>
        <w:t>2. Scope</w:t>
      </w:r>
    </w:p>
    <w:p>
      <w:r>
        <w:t>All data created, received or processed by the organisation, including customer data, personal data and 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Data Owners</w:t>
            </w:r>
          </w:p>
        </w:tc>
        <w:tc>
          <w:tcPr>
            <w:tcW w:type="dxa" w:w="4873"/>
          </w:tcPr>
          <w:p>
            <w:r>
              <w:t>Classify data and approve access.</w:t>
            </w:r>
          </w:p>
        </w:tc>
      </w:tr>
      <w:tr>
        <w:tc>
          <w:tcPr>
            <w:tcW w:type="dxa" w:w="4873"/>
          </w:tcPr>
          <w:p>
            <w:r>
              <w:t>Engineering</w:t>
            </w:r>
          </w:p>
        </w:tc>
        <w:tc>
          <w:tcPr>
            <w:tcW w:type="dxa" w:w="4873"/>
          </w:tcPr>
          <w:p>
            <w:r>
              <w:t>Implements retention and deletion mechanisms.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Aligns retention with privacy law.</w:t>
            </w:r>
          </w:p>
        </w:tc>
      </w:tr>
    </w:tbl>
    <w:p/>
    <w:p>
      <w:pPr>
        <w:pStyle w:val="Heading1"/>
      </w:pPr>
      <w:r>
        <w:t>4. Classification and handling</w:t>
      </w:r>
    </w:p>
    <w:p>
      <w:pPr>
        <w:pStyle w:val="ListBullet"/>
      </w:pPr>
      <w:r>
        <w:t>Public: may be shared freely.</w:t>
      </w:r>
    </w:p>
    <w:p>
      <w:pPr>
        <w:pStyle w:val="ListBullet"/>
      </w:pPr>
      <w:r>
        <w:t>Internal: for employees and contractors only.</w:t>
      </w:r>
    </w:p>
    <w:p>
      <w:pPr>
        <w:pStyle w:val="ListBullet"/>
      </w:pPr>
      <w:r>
        <w:t>Confidential: customer data, contracts, financials; encrypted, need-to-know access.</w:t>
      </w:r>
    </w:p>
    <w:p>
      <w:pPr>
        <w:pStyle w:val="ListBullet"/>
      </w:pPr>
      <w:r>
        <w:t>Restricted: personal data, PHI, credentials, keys; encrypted, logged access, no use in non-production.</w:t>
      </w:r>
    </w:p>
    <w:p>
      <w:pPr>
        <w:pStyle w:val="Heading1"/>
      </w:pPr>
      <w:r>
        <w:t>5. Retention schedule</w:t>
      </w:r>
    </w:p>
    <w:p>
      <w:pPr>
        <w:pStyle w:val="ListBullet"/>
      </w:pPr>
      <w:r>
        <w:t>Customer data: retained for the subscription term plus [30] days, then deleted.</w:t>
      </w:r>
    </w:p>
    <w:p>
      <w:pPr>
        <w:pStyle w:val="ListBullet"/>
      </w:pPr>
      <w:r>
        <w:t>Backups: [35] days rolling.</w:t>
      </w:r>
    </w:p>
    <w:p>
      <w:pPr>
        <w:pStyle w:val="ListBullet"/>
      </w:pPr>
      <w:r>
        <w:t>Logs: security logs [1 year], application logs [90 days].</w:t>
      </w:r>
    </w:p>
    <w:p>
      <w:pPr>
        <w:pStyle w:val="ListBullet"/>
      </w:pPr>
      <w:r>
        <w:t>HR records: employment plus [7] years.</w:t>
      </w:r>
    </w:p>
    <w:p>
      <w:pPr>
        <w:pStyle w:val="ListBullet"/>
      </w:pPr>
      <w:r>
        <w:t>Financial records: [7] years.</w:t>
      </w:r>
    </w:p>
    <w:p>
      <w:pPr>
        <w:pStyle w:val="ListBullet"/>
      </w:pPr>
      <w:r>
        <w:t>HIPAA documentation: 6 years from creation or last effective date.</w:t>
      </w:r>
    </w:p>
    <w:p>
      <w:pPr>
        <w:pStyle w:val="Heading1"/>
      </w:pPr>
      <w:r>
        <w:t>6. Deletion procedure</w:t>
      </w:r>
    </w:p>
    <w:p>
      <w:pPr>
        <w:ind w:left="340" w:hanging="340"/>
      </w:pPr>
      <w:r>
        <w:t>1. Deletion requests and contract terminations are logged and actioned within [30] days.</w:t>
      </w:r>
    </w:p>
    <w:p>
      <w:pPr>
        <w:ind w:left="340" w:hanging="340"/>
      </w:pPr>
      <w:r>
        <w:t>2. Data is deleted from production systems and expires from backups per the schedule.</w:t>
      </w:r>
    </w:p>
    <w:p>
      <w:pPr>
        <w:ind w:left="340" w:hanging="340"/>
      </w:pPr>
      <w:r>
        <w:t>3. Deletion is confirmed in writing (certificate of deletion) where required.</w:t>
      </w:r>
    </w:p>
    <w:p>
      <w:pPr>
        <w:ind w:left="340" w:hanging="340"/>
      </w:pPr>
      <w:r>
        <w:t>4. Automated deletion jobs are monitored for failures.</w:t>
      </w:r>
    </w:p>
    <w:p>
      <w:pPr>
        <w:pStyle w:val="Heading1"/>
      </w:pPr>
      <w:r>
        <w:t>7.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8. Frequency and timing</w:t>
      </w:r>
    </w:p>
    <w:p>
      <w:r>
        <w:t>Reviewed annually; retention jobs monitored continuously.</w:t>
      </w:r>
    </w:p>
    <w:p>
      <w:pPr>
        <w:pStyle w:val="Heading1"/>
      </w:pPr>
      <w:r>
        <w:t>9. Audit evidence checklist</w:t>
      </w:r>
    </w:p>
    <w:p>
      <w:r>
        <w:t>Retain the following so an auditor can test this control:</w:t>
      </w:r>
    </w:p>
    <w:p>
      <w:r>
        <w:t>☐  Approved retention schedule</w:t>
      </w:r>
    </w:p>
    <w:p>
      <w:r>
        <w:t>☐  Evidence of automated deletion configuration</w:t>
      </w:r>
    </w:p>
    <w:p>
      <w:r>
        <w:t>☐  Sample deletion records</w:t>
      </w:r>
    </w:p>
    <w:p>
      <w:pPr>
        <w:pStyle w:val="Heading1"/>
      </w:pPr>
      <w:r>
        <w:t>10.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C1.1, C1.2, P4.2, P4.3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A.5.12, A.5.13, A.5.33, A.8.10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164.316(b)(2), 164.310(d)(2)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5(1)(c), (e), 17</w:t>
            </w:r>
          </w:p>
        </w:tc>
      </w:tr>
    </w:tbl>
    <w:p/>
    <w:p>
      <w:pPr>
        <w:pStyle w:val="Heading1"/>
      </w:pPr>
      <w:r>
        <w:t>11.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Management and Retention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