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Data Masking and Pseudonymisation Standard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Defines when and how personal and sensitive data is masked or pseudonymised and who may reverse it.</w:t>
      </w:r>
    </w:p>
    <w:p>
      <w:pPr>
        <w:pStyle w:val="Heading1"/>
      </w:pPr>
      <w:r>
        <w:t>2. Scope</w:t>
      </w:r>
    </w:p>
    <w:p>
      <w:r>
        <w:t>Personal data, PHI and other Restricted data used outside production or shared externally.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Data Owners</w:t>
            </w:r>
          </w:p>
        </w:tc>
        <w:tc>
          <w:tcPr>
            <w:tcW w:type="dxa" w:w="4873"/>
          </w:tcPr>
          <w:p>
            <w:r>
              <w:t>Approve masking rules.</w:t>
            </w:r>
          </w:p>
        </w:tc>
      </w:tr>
      <w:tr>
        <w:tc>
          <w:tcPr>
            <w:tcW w:type="dxa" w:w="4873"/>
          </w:tcPr>
          <w:p>
            <w:r>
              <w:t>Engineering</w:t>
            </w:r>
          </w:p>
        </w:tc>
        <w:tc>
          <w:tcPr>
            <w:tcW w:type="dxa" w:w="4873"/>
          </w:tcPr>
          <w:p>
            <w:r>
              <w:t>Implements masking.</w:t>
            </w:r>
          </w:p>
        </w:tc>
      </w:tr>
      <w:tr>
        <w:tc>
          <w:tcPr>
            <w:tcW w:type="dxa" w:w="4873"/>
          </w:tcPr>
          <w:p>
            <w:r>
              <w:t>Privacy Officer</w:t>
            </w:r>
          </w:p>
        </w:tc>
        <w:tc>
          <w:tcPr>
            <w:tcW w:type="dxa" w:w="4873"/>
          </w:tcPr>
          <w:p>
            <w:r>
              <w:t>Approves re-identification.</w:t>
            </w:r>
          </w:p>
        </w:tc>
      </w:tr>
    </w:tbl>
    <w:p/>
    <w:p>
      <w:pPr>
        <w:pStyle w:val="Heading1"/>
      </w:pPr>
      <w:r>
        <w:t>4. Requirements</w:t>
      </w:r>
    </w:p>
    <w:p>
      <w:pPr>
        <w:pStyle w:val="ListBullet"/>
      </w:pPr>
      <w:r>
        <w:t>Restricted data copied to non-production is masked, tokenised or synthetic.</w:t>
      </w:r>
    </w:p>
    <w:p>
      <w:pPr>
        <w:pStyle w:val="ListBullet"/>
      </w:pPr>
      <w:r>
        <w:t>Displays and logs mask sensitive fields (e.g. show last 4 digits only).</w:t>
      </w:r>
    </w:p>
    <w:p>
      <w:pPr>
        <w:pStyle w:val="ListBullet"/>
      </w:pPr>
      <w:r>
        <w:t>Pseudonymisation keys are stored separately with restricted access.</w:t>
      </w:r>
    </w:p>
    <w:p>
      <w:pPr>
        <w:pStyle w:val="ListBullet"/>
      </w:pPr>
      <w:r>
        <w:t>Re-identification requires documented approval.</w:t>
      </w:r>
    </w:p>
    <w:p>
      <w:pPr>
        <w:pStyle w:val="ListBullet"/>
      </w:pPr>
      <w:r>
        <w:t>Masking techniques: substitution, shuffling, nulling, tokenisation, hashing with salt, generalisation.</w:t>
      </w:r>
    </w:p>
    <w:p>
      <w:pPr>
        <w:pStyle w:val="ListBullet"/>
      </w:pPr>
      <w:r>
        <w:t>Masking effectiveness is tested before data is released.</w:t>
      </w:r>
    </w:p>
    <w:p>
      <w:pPr>
        <w:pStyle w:val="Heading1"/>
      </w:pPr>
      <w:r>
        <w:t>5. Exceptions and enforcement</w:t>
      </w:r>
    </w:p>
    <w:p>
      <w:pPr>
        <w:pStyle w:val="ListBullet"/>
      </w:pPr>
      <w:r>
        <w:t>Exceptions require a documented business justification, a risk assessment and approval by the Security Lead; approved exceptions are recorded in the exception register with an expiry date.</w:t>
      </w:r>
    </w:p>
    <w:p>
      <w:pPr>
        <w:pStyle w:val="ListBullet"/>
      </w:pPr>
      <w:r>
        <w:t>Violations may result in disciplinary action up to and including termination of employment or contract, and may be reported to authorities where required by law.</w:t>
      </w:r>
    </w:p>
    <w:p>
      <w:pPr>
        <w:pStyle w:val="Heading1"/>
      </w:pPr>
      <w:r>
        <w:t>6. Frequency and timing</w:t>
      </w:r>
    </w:p>
    <w:p>
      <w:r>
        <w:t>Reviewed annually.</w:t>
      </w:r>
    </w:p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Masking rules</w:t>
      </w:r>
    </w:p>
    <w:p>
      <w:r>
        <w:t>☐  Evidence of masked non-production data</w:t>
      </w:r>
    </w:p>
    <w:p>
      <w:r>
        <w:t>☐  Key access lists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A.8.11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25, 32(1)(a)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Masking and Pseudonymisation Standard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