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5B21B6"/>
          <w:sz w:val="40"/>
        </w:rPr>
        <w:t>Documented Information Control Procedure</w:t>
      </w:r>
    </w:p>
    <w:p>
      <w:r>
        <w:rPr>
          <w:i/>
        </w:rPr>
        <w:t>[Organisation Name]</w:t>
      </w:r>
    </w:p>
    <w:p>
      <w:pPr>
        <w:pStyle w:val="Heading1"/>
      </w:pPr>
      <w:r>
        <w:t>Document control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EDE9FE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4873"/>
          </w:tcPr>
          <w:p>
            <w:r>
              <w:t>[x.x]</w:t>
            </w:r>
          </w:p>
        </w:tc>
      </w:tr>
      <w:tr>
        <w:tc>
          <w:tcPr>
            <w:tcW w:type="dxa" w:w="4873"/>
            <w:shd w:val="clear" w:color="auto" w:fill="EDE9FE"/>
          </w:tcPr>
          <w:p>
            <w:r>
              <w:rPr>
                <w:b/>
              </w:rPr>
              <w:t>Document owner</w:t>
            </w:r>
          </w:p>
        </w:tc>
        <w:tc>
          <w:tcPr>
            <w:tcW w:type="dxa" w:w="4873"/>
          </w:tcPr>
          <w:p>
            <w:r>
              <w:t>[Role]</w:t>
            </w:r>
          </w:p>
        </w:tc>
      </w:tr>
      <w:tr>
        <w:tc>
          <w:tcPr>
            <w:tcW w:type="dxa" w:w="4873"/>
            <w:shd w:val="clear" w:color="auto" w:fill="EDE9FE"/>
          </w:tcPr>
          <w:p>
            <w:r>
              <w:rPr>
                <w:b/>
              </w:rPr>
              <w:t>Approver</w:t>
            </w:r>
          </w:p>
        </w:tc>
        <w:tc>
          <w:tcPr>
            <w:tcW w:type="dxa" w:w="4873"/>
          </w:tcPr>
          <w:p>
            <w:r>
              <w:t>[Role]</w:t>
            </w:r>
          </w:p>
        </w:tc>
      </w:tr>
      <w:tr>
        <w:tc>
          <w:tcPr>
            <w:tcW w:type="dxa" w:w="4873"/>
            <w:shd w:val="clear" w:color="auto" w:fill="EDE9FE"/>
          </w:tcPr>
          <w:p>
            <w:r>
              <w:rPr>
                <w:b/>
              </w:rPr>
              <w:t>Effective date</w:t>
            </w:r>
          </w:p>
        </w:tc>
        <w:tc>
          <w:tcPr>
            <w:tcW w:type="dxa" w:w="4873"/>
          </w:tcPr>
          <w:p>
            <w:r>
              <w:t>[YYYY-MM-DD]</w:t>
            </w:r>
          </w:p>
        </w:tc>
      </w:tr>
      <w:tr>
        <w:tc>
          <w:tcPr>
            <w:tcW w:type="dxa" w:w="4873"/>
            <w:shd w:val="clear" w:color="auto" w:fill="EDE9FE"/>
          </w:tcPr>
          <w:p>
            <w:r>
              <w:rPr>
                <w:b/>
              </w:rPr>
              <w:t>Next review date</w:t>
            </w:r>
          </w:p>
        </w:tc>
        <w:tc>
          <w:tcPr>
            <w:tcW w:type="dxa" w:w="4873"/>
          </w:tcPr>
          <w:p>
            <w:r>
              <w:t>[YYYY-MM-DD]</w:t>
            </w:r>
          </w:p>
        </w:tc>
      </w:tr>
      <w:tr>
        <w:tc>
          <w:tcPr>
            <w:tcW w:type="dxa" w:w="4873"/>
            <w:shd w:val="clear" w:color="auto" w:fill="EDE9FE"/>
          </w:tcPr>
          <w:p>
            <w:r>
              <w:rPr>
                <w:b/>
              </w:rPr>
              <w:t>Classification</w:t>
            </w:r>
          </w:p>
        </w:tc>
        <w:tc>
          <w:tcPr>
            <w:tcW w:type="dxa" w:w="4873"/>
          </w:tcPr>
          <w:p>
            <w:r>
              <w:t>Internal</w:t>
            </w:r>
          </w:p>
        </w:tc>
      </w:tr>
    </w:tbl>
    <w:p/>
    <w:p>
      <w:pPr>
        <w:pStyle w:val="Heading1"/>
      </w:pPr>
      <w:r>
        <w:t>1. Purpose</w:t>
      </w:r>
    </w:p>
    <w:p>
      <w:r>
        <w:t>Ensures documented information required by the ISMS is properly identified, reviewed, approved, available where needed, protected and retained.</w:t>
      </w:r>
    </w:p>
    <w:p>
      <w:pPr>
        <w:pStyle w:val="Heading1"/>
      </w:pPr>
      <w:r>
        <w:t>2. Scope</w:t>
      </w:r>
    </w:p>
    <w:p>
      <w:r>
        <w:t>All policies, procedures, standards, templates and records within the ISMS and SOC 2 scope.</w:t>
      </w:r>
    </w:p>
    <w:p>
      <w:pPr>
        <w:pStyle w:val="Heading1"/>
      </w:pPr>
      <w:r>
        <w:t>3. Roles and responsibilities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Role</w:t>
            </w:r>
          </w:p>
        </w:tc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Responsibilities</w:t>
            </w:r>
          </w:p>
        </w:tc>
      </w:tr>
      <w:tr>
        <w:tc>
          <w:tcPr>
            <w:tcW w:type="dxa" w:w="4873"/>
          </w:tcPr>
          <w:p>
            <w:r>
              <w:t>Document Owner</w:t>
            </w:r>
          </w:p>
        </w:tc>
        <w:tc>
          <w:tcPr>
            <w:tcW w:type="dxa" w:w="4873"/>
          </w:tcPr>
          <w:p>
            <w:r>
              <w:t>Drafts, reviews and maintains the document.</w:t>
            </w:r>
          </w:p>
        </w:tc>
      </w:tr>
      <w:tr>
        <w:tc>
          <w:tcPr>
            <w:tcW w:type="dxa" w:w="4873"/>
          </w:tcPr>
          <w:p>
            <w:r>
              <w:t>Approver</w:t>
            </w:r>
          </w:p>
        </w:tc>
        <w:tc>
          <w:tcPr>
            <w:tcW w:type="dxa" w:w="4873"/>
          </w:tcPr>
          <w:p>
            <w:r>
              <w:t>Approves new documents and changes.</w:t>
            </w:r>
          </w:p>
        </w:tc>
      </w:tr>
      <w:tr>
        <w:tc>
          <w:tcPr>
            <w:tcW w:type="dxa" w:w="4873"/>
          </w:tcPr>
          <w:p>
            <w:r>
              <w:t>Security Lead</w:t>
            </w:r>
          </w:p>
        </w:tc>
        <w:tc>
          <w:tcPr>
            <w:tcW w:type="dxa" w:w="4873"/>
          </w:tcPr>
          <w:p>
            <w:r>
              <w:t>Maintains the Master Document List and the policy repository.</w:t>
            </w:r>
          </w:p>
        </w:tc>
      </w:tr>
    </w:tbl>
    <w:p/>
    <w:p>
      <w:pPr>
        <w:pStyle w:val="Heading1"/>
      </w:pPr>
      <w:r>
        <w:t>4. Procedure</w:t>
      </w:r>
    </w:p>
    <w:p>
      <w:pPr>
        <w:ind w:left="340" w:hanging="340"/>
      </w:pPr>
      <w:r>
        <w:t>1. Each document has a unique title, version number, owner, approver, effective date and next review date.</w:t>
      </w:r>
    </w:p>
    <w:p>
      <w:pPr>
        <w:ind w:left="340" w:hanging="340"/>
      </w:pPr>
      <w:r>
        <w:t>2. New documents and material changes are drafted by the owner and reviewed by at least one other person.</w:t>
      </w:r>
    </w:p>
    <w:p>
      <w:pPr>
        <w:ind w:left="340" w:hanging="340"/>
      </w:pPr>
      <w:r>
        <w:t>3. Approval is recorded (electronic signature, approval workflow or minutes) before publication.</w:t>
      </w:r>
    </w:p>
    <w:p>
      <w:pPr>
        <w:ind w:left="340" w:hanging="340"/>
      </w:pPr>
      <w:r>
        <w:t>4. Approved documents are published in [policy portal / document repository] with read access for relevant personnel; edit access is restricted to owners.</w:t>
      </w:r>
    </w:p>
    <w:p>
      <w:pPr>
        <w:ind w:left="340" w:hanging="340"/>
      </w:pPr>
      <w:r>
        <w:t>5. Superseded versions are archived, clearly marked "Superseded" and retained for [3] years; they are not deleted.</w:t>
      </w:r>
    </w:p>
    <w:p>
      <w:pPr>
        <w:ind w:left="340" w:hanging="340"/>
      </w:pPr>
      <w:r>
        <w:t>6. Records (logs, evidence) are protected from unauthorised change and retained per the Data Retention Policy.</w:t>
      </w:r>
    </w:p>
    <w:p>
      <w:pPr>
        <w:ind w:left="340" w:hanging="340"/>
      </w:pPr>
      <w:r>
        <w:t>7. External documents (standards, contracts, supplier reports) are identified and their distribution controlled.</w:t>
      </w:r>
    </w:p>
    <w:p>
      <w:pPr>
        <w:ind w:left="340" w:hanging="340"/>
      </w:pPr>
      <w:r>
        <w:t>8. Each document is reviewed at least annually; the review is recorded in the revision history even when no change is made.</w:t>
      </w:r>
    </w:p>
    <w:p>
      <w:pPr>
        <w:pStyle w:val="Heading1"/>
      </w:pPr>
      <w:r>
        <w:t>5. Version numbering</w:t>
      </w:r>
    </w:p>
    <w:p>
      <w:pPr>
        <w:pStyle w:val="ListBullet"/>
      </w:pPr>
      <w:r>
        <w:t>Major change (scope, requirements): increment whole number (1.0 to 2.0).</w:t>
      </w:r>
    </w:p>
    <w:p>
      <w:pPr>
        <w:pStyle w:val="ListBullet"/>
      </w:pPr>
      <w:r>
        <w:t>Minor change (wording, formatting): increment decimal (1.0 to 1.1).</w:t>
      </w:r>
    </w:p>
    <w:p>
      <w:pPr>
        <w:pStyle w:val="Heading1"/>
      </w:pPr>
      <w:r>
        <w:t>6. Frequency and timing</w:t>
      </w:r>
    </w:p>
    <w:p>
      <w:r>
        <w:t>Applied continuously; each document reviewed at least annually.</w:t>
      </w:r>
    </w:p>
    <w:p>
      <w:pPr>
        <w:pStyle w:val="Heading1"/>
      </w:pPr>
      <w:r>
        <w:t>7. Audit evidence checklist</w:t>
      </w:r>
    </w:p>
    <w:p>
      <w:r>
        <w:t>Retain the following so an auditor can test this control:</w:t>
      </w:r>
    </w:p>
    <w:p>
      <w:r>
        <w:t>☐  Master Document List with versions and review dates</w:t>
      </w:r>
    </w:p>
    <w:p>
      <w:r>
        <w:t>☐  Revision history and approvals on sampled documents</w:t>
      </w:r>
    </w:p>
    <w:p>
      <w:r>
        <w:t>☐  Access permissions on the document repository</w:t>
      </w:r>
    </w:p>
    <w:p>
      <w:r>
        <w:t>☐  Archive of superseded versions</w:t>
      </w:r>
    </w:p>
    <w:p>
      <w:pPr>
        <w:pStyle w:val="Heading1"/>
      </w:pPr>
      <w:r>
        <w:t>8. Framework mapping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Framework</w:t>
            </w:r>
          </w:p>
        </w:tc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Reference</w:t>
            </w:r>
          </w:p>
        </w:tc>
      </w:tr>
      <w:tr>
        <w:tc>
          <w:tcPr>
            <w:tcW w:type="dxa" w:w="4873"/>
          </w:tcPr>
          <w:p>
            <w:r>
              <w:t>ISO 27001</w:t>
            </w:r>
          </w:p>
        </w:tc>
        <w:tc>
          <w:tcPr>
            <w:tcW w:type="dxa" w:w="4873"/>
          </w:tcPr>
          <w:p>
            <w:r>
              <w:t>Clauses 7.5.1 to 7.5.3</w:t>
            </w:r>
          </w:p>
        </w:tc>
      </w:tr>
      <w:tr>
        <w:tc>
          <w:tcPr>
            <w:tcW w:type="dxa" w:w="4873"/>
          </w:tcPr>
          <w:p>
            <w:r>
              <w:t>SOC 2</w:t>
            </w:r>
          </w:p>
        </w:tc>
        <w:tc>
          <w:tcPr>
            <w:tcW w:type="dxa" w:w="4873"/>
          </w:tcPr>
          <w:p>
            <w:r>
              <w:t>CC2.2, CC5.3</w:t>
            </w:r>
          </w:p>
        </w:tc>
      </w:tr>
      <w:tr>
        <w:tc>
          <w:tcPr>
            <w:tcW w:type="dxa" w:w="4873"/>
          </w:tcPr>
          <w:p>
            <w:r>
              <w:t>HIPAA</w:t>
            </w:r>
          </w:p>
        </w:tc>
        <w:tc>
          <w:tcPr>
            <w:tcW w:type="dxa" w:w="4873"/>
          </w:tcPr>
          <w:p>
            <w:r>
              <w:t>164.316(b)</w:t>
            </w:r>
          </w:p>
        </w:tc>
      </w:tr>
    </w:tbl>
    <w:p/>
    <w:p>
      <w:pPr>
        <w:pStyle w:val="Heading1"/>
      </w:pPr>
      <w:r>
        <w:t>9. Review and approval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Role</w:t>
            </w:r>
          </w:p>
        </w:tc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Name</w:t>
            </w:r>
          </w:p>
        </w:tc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Signature</w:t>
            </w:r>
          </w:p>
        </w:tc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Date</w:t>
            </w:r>
          </w:p>
        </w:tc>
      </w:tr>
      <w:tr>
        <w:tc>
          <w:tcPr>
            <w:tcW w:type="dxa" w:w="2436"/>
          </w:tcPr>
          <w:p>
            <w:r>
              <w:t>Prepared by</w:t>
            </w:r>
          </w:p>
        </w:tc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</w:tr>
      <w:tr>
        <w:tc>
          <w:tcPr>
            <w:tcW w:type="dxa" w:w="2436"/>
          </w:tcPr>
          <w:p>
            <w:r>
              <w:t>Reviewed by</w:t>
            </w:r>
          </w:p>
        </w:tc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</w:tr>
      <w:tr>
        <w:tc>
          <w:tcPr>
            <w:tcW w:type="dxa" w:w="2436"/>
          </w:tcPr>
          <w:p>
            <w:r>
              <w:t>Approved by</w:t>
            </w:r>
          </w:p>
        </w:tc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</w:tr>
    </w:tbl>
    <w:p/>
    <w:p>
      <w:r>
        <w:rPr>
          <w:b/>
        </w:rPr>
        <w:t>Revision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Version</w:t>
            </w:r>
          </w:p>
        </w:tc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Date</w:t>
            </w:r>
          </w:p>
        </w:tc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Author</w:t>
            </w:r>
          </w:p>
        </w:tc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Description of change</w:t>
            </w:r>
          </w:p>
        </w:tc>
      </w:tr>
      <w:tr>
        <w:tc>
          <w:tcPr>
            <w:tcW w:type="dxa" w:w="2436"/>
          </w:tcPr>
          <w:p>
            <w:r>
              <w:t>1.0</w:t>
            </w:r>
          </w:p>
        </w:tc>
        <w:tc>
          <w:tcPr>
            <w:tcW w:type="dxa" w:w="2436"/>
          </w:tcPr>
          <w:p>
            <w:r>
              <w:t>[YYYY-MM-DD]</w:t>
            </w:r>
          </w:p>
        </w:tc>
        <w:tc>
          <w:tcPr>
            <w:tcW w:type="dxa" w:w="2436"/>
          </w:tcPr>
          <w:p>
            <w:r>
              <w:t>[Role]</w:t>
            </w:r>
          </w:p>
        </w:tc>
        <w:tc>
          <w:tcPr>
            <w:tcW w:type="dxa" w:w="2436"/>
          </w:tcPr>
          <w:p>
            <w:r>
              <w:t>Initial version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440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6"/>
      </w:rPr>
      <w:t>Template provided by OneLens by Ruchi. Replace all [bracketed] fields before use.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5B21B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5B21B6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Documented Information Control Procedure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