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Incident Response Plan (with HIPAA and GDPR breach addenda)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how security incidents are detected, reported, classified, contained, eradicated, recovered and reviewed, including breach notification duties under HIPAA and GDPR.</w:t>
      </w:r>
    </w:p>
    <w:p>
      <w:pPr>
        <w:pStyle w:val="Heading1"/>
      </w:pPr>
      <w:r>
        <w:t>2. Scope</w:t>
      </w:r>
    </w:p>
    <w:p>
      <w:r>
        <w:t>All security events and incidents affecting [Organisation Name] systems, data, personnel or suppliers.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Incident Commander</w:t>
            </w:r>
          </w:p>
        </w:tc>
        <w:tc>
          <w:tcPr>
            <w:tcW w:type="dxa" w:w="4873"/>
          </w:tcPr>
          <w:p>
            <w:r>
              <w:t>Leads response and decisions.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Triage, investigation and evidence.</w:t>
            </w:r>
          </w:p>
        </w:tc>
      </w:tr>
      <w:tr>
        <w:tc>
          <w:tcPr>
            <w:tcW w:type="dxa" w:w="4873"/>
          </w:tcPr>
          <w:p>
            <w:r>
              <w:t>Engineering</w:t>
            </w:r>
          </w:p>
        </w:tc>
        <w:tc>
          <w:tcPr>
            <w:tcW w:type="dxa" w:w="4873"/>
          </w:tcPr>
          <w:p>
            <w:r>
              <w:t>Containment and recovery.</w:t>
            </w:r>
          </w:p>
        </w:tc>
      </w:tr>
      <w:tr>
        <w:tc>
          <w:tcPr>
            <w:tcW w:type="dxa" w:w="4873"/>
          </w:tcPr>
          <w:p>
            <w:r>
              <w:t>Legal / Privacy Officer</w:t>
            </w:r>
          </w:p>
        </w:tc>
        <w:tc>
          <w:tcPr>
            <w:tcW w:type="dxa" w:w="4873"/>
          </w:tcPr>
          <w:p>
            <w:r>
              <w:t>Notification assessment.</w:t>
            </w:r>
          </w:p>
        </w:tc>
      </w:tr>
      <w:tr>
        <w:tc>
          <w:tcPr>
            <w:tcW w:type="dxa" w:w="4873"/>
          </w:tcPr>
          <w:p>
            <w:r>
              <w:t>Communications</w:t>
            </w:r>
          </w:p>
        </w:tc>
        <w:tc>
          <w:tcPr>
            <w:tcW w:type="dxa" w:w="4873"/>
          </w:tcPr>
          <w:p>
            <w:r>
              <w:t>Customer and public messaging.</w:t>
            </w:r>
          </w:p>
        </w:tc>
      </w:tr>
      <w:tr>
        <w:tc>
          <w:tcPr>
            <w:tcW w:type="dxa" w:w="4873"/>
          </w:tcPr>
          <w:p>
            <w:r>
              <w:t>All personnel</w:t>
            </w:r>
          </w:p>
        </w:tc>
        <w:tc>
          <w:tcPr>
            <w:tcW w:type="dxa" w:w="4873"/>
          </w:tcPr>
          <w:p>
            <w:r>
              <w:t>Report suspected incidents immediately.</w:t>
            </w:r>
          </w:p>
        </w:tc>
      </w:tr>
    </w:tbl>
    <w:p/>
    <w:p>
      <w:pPr>
        <w:pStyle w:val="Heading1"/>
      </w:pPr>
      <w:r>
        <w:t>4. Severity levels</w:t>
      </w:r>
    </w:p>
    <w:p>
      <w:pPr>
        <w:pStyle w:val="ListBullet"/>
      </w:pPr>
      <w:r>
        <w:t>SEV1 Critical: confirmed breach of personal data/PHI or full outage; respond within 15 minutes.</w:t>
      </w:r>
    </w:p>
    <w:p>
      <w:pPr>
        <w:pStyle w:val="ListBullet"/>
      </w:pPr>
      <w:r>
        <w:t>SEV2 High: partial outage, malware, compromised privileged account; respond within 30 minutes.</w:t>
      </w:r>
    </w:p>
    <w:p>
      <w:pPr>
        <w:pStyle w:val="ListBullet"/>
      </w:pPr>
      <w:r>
        <w:t>SEV3 Medium: limited impact, single user compromise; respond within 4 business hours.</w:t>
      </w:r>
    </w:p>
    <w:p>
      <w:pPr>
        <w:pStyle w:val="ListBullet"/>
      </w:pPr>
      <w:r>
        <w:t>SEV4 Low: blocked attempts, minor misconfiguration; respond within 1 business day.</w:t>
      </w:r>
    </w:p>
    <w:p>
      <w:pPr>
        <w:pStyle w:val="Heading1"/>
      </w:pPr>
      <w:r>
        <w:t>5. Response procedure</w:t>
      </w:r>
    </w:p>
    <w:p>
      <w:pPr>
        <w:ind w:left="340" w:hanging="340"/>
      </w:pPr>
      <w:r>
        <w:t>1. Report: anyone reports to [security@ / channel / phone].</w:t>
      </w:r>
    </w:p>
    <w:p>
      <w:pPr>
        <w:ind w:left="340" w:hanging="340"/>
      </w:pPr>
      <w:r>
        <w:t>2. Triage: Security Lead confirms the incident, assigns severity and Incident Commander, opens an incident record.</w:t>
      </w:r>
    </w:p>
    <w:p>
      <w:pPr>
        <w:ind w:left="340" w:hanging="340"/>
      </w:pPr>
      <w:r>
        <w:t>3. Contain: isolate affected systems, disable compromised accounts, preserve evidence.</w:t>
      </w:r>
    </w:p>
    <w:p>
      <w:pPr>
        <w:ind w:left="340" w:hanging="340"/>
      </w:pPr>
      <w:r>
        <w:t>4. Eradicate: remove the cause, patch vulnerabilities, rotate credentials.</w:t>
      </w:r>
    </w:p>
    <w:p>
      <w:pPr>
        <w:ind w:left="340" w:hanging="340"/>
      </w:pPr>
      <w:r>
        <w:t>5. Recover: restore from known-good state, monitor for recurrence.</w:t>
      </w:r>
    </w:p>
    <w:p>
      <w:pPr>
        <w:ind w:left="340" w:hanging="340"/>
      </w:pPr>
      <w:r>
        <w:t>6. Notify: assess legal and contractual notification duties (see addenda).</w:t>
      </w:r>
    </w:p>
    <w:p>
      <w:pPr>
        <w:ind w:left="340" w:hanging="340"/>
      </w:pPr>
      <w:r>
        <w:t>7. Review: hold a post-incident review within [5] business days for SEV1/SEV2 and log corrective actions.</w:t>
      </w:r>
    </w:p>
    <w:p>
      <w:pPr>
        <w:pStyle w:val="Heading1"/>
      </w:pPr>
      <w:r>
        <w:t>6. HIPAA breach addendum</w:t>
      </w:r>
    </w:p>
    <w:p>
      <w:pPr>
        <w:pStyle w:val="ListBullet"/>
      </w:pPr>
      <w:r>
        <w:t>Presume a breach of unsecured PHI unless a documented four-factor risk assessment shows low probability of compromise.</w:t>
      </w:r>
    </w:p>
    <w:p>
      <w:pPr>
        <w:pStyle w:val="ListBullet"/>
      </w:pPr>
      <w:r>
        <w:t>Notify affected individuals without unreasonable delay and no later than 60 days after discovery.</w:t>
      </w:r>
    </w:p>
    <w:p>
      <w:pPr>
        <w:pStyle w:val="ListBullet"/>
      </w:pPr>
      <w:r>
        <w:t>Notify HHS: within 60 days if 500 or more individuals; annually for fewer than 500.</w:t>
      </w:r>
    </w:p>
    <w:p>
      <w:pPr>
        <w:pStyle w:val="ListBullet"/>
      </w:pPr>
      <w:r>
        <w:t>Notify prominent media if more than 500 residents of a state or jurisdiction are affected.</w:t>
      </w:r>
    </w:p>
    <w:p>
      <w:pPr>
        <w:pStyle w:val="ListBullet"/>
      </w:pPr>
      <w:r>
        <w:t>Business associates notify covered entities per the BAA.</w:t>
      </w:r>
    </w:p>
    <w:p>
      <w:pPr>
        <w:pStyle w:val="Heading1"/>
      </w:pPr>
      <w:r>
        <w:t>7. GDPR breach addendum</w:t>
      </w:r>
    </w:p>
    <w:p>
      <w:pPr>
        <w:pStyle w:val="ListBullet"/>
      </w:pPr>
      <w:r>
        <w:t>Notify the supervisory authority within 72 hours of becoming aware of a personal data breach unless unlikely to result in risk to individuals.</w:t>
      </w:r>
    </w:p>
    <w:p>
      <w:pPr>
        <w:pStyle w:val="ListBullet"/>
      </w:pPr>
      <w:r>
        <w:t>Notify data subjects without undue delay where the breach is likely to result in high risk.</w:t>
      </w:r>
    </w:p>
    <w:p>
      <w:pPr>
        <w:pStyle w:val="ListBullet"/>
      </w:pPr>
      <w:r>
        <w:t>As processor, notify the controller without undue delay.</w:t>
      </w:r>
    </w:p>
    <w:p>
      <w:pPr>
        <w:pStyle w:val="ListBullet"/>
      </w:pPr>
      <w:r>
        <w:t>Record all personal data breaches in the breach register, including those not notified.</w:t>
      </w:r>
    </w:p>
    <w:p>
      <w:pPr>
        <w:pStyle w:val="Heading1"/>
      </w:pPr>
      <w:r>
        <w:t>8. Testing</w:t>
      </w:r>
    </w:p>
    <w:p>
      <w:pPr>
        <w:pStyle w:val="ListBullet"/>
      </w:pPr>
      <w:r>
        <w:t>The plan is tested at least annually through a tabletop exercise.</w:t>
      </w:r>
    </w:p>
    <w:p>
      <w:pPr>
        <w:pStyle w:val="Heading1"/>
      </w:pPr>
      <w:r>
        <w:t>9. Frequency and timing</w:t>
      </w:r>
    </w:p>
    <w:p>
      <w:r>
        <w:t>Tested and reviewed at least annually and after major incidents.</w:t>
      </w:r>
    </w:p>
    <w:p>
      <w:pPr>
        <w:pStyle w:val="Heading1"/>
      </w:pPr>
      <w:r>
        <w:t>10. Audit evidence checklist</w:t>
      </w:r>
    </w:p>
    <w:p>
      <w:r>
        <w:t>Retain the following so an auditor can test this control:</w:t>
      </w:r>
    </w:p>
    <w:p>
      <w:r>
        <w:t>☐  Approved plan</w:t>
      </w:r>
    </w:p>
    <w:p>
      <w:r>
        <w:t>☐  Incident register and sampled incident reports</w:t>
      </w:r>
    </w:p>
    <w:p>
      <w:r>
        <w:t>☐  Annual tabletop test record</w:t>
      </w:r>
    </w:p>
    <w:p>
      <w:r>
        <w:t>☐  Breach register</w:t>
      </w:r>
    </w:p>
    <w:p>
      <w:pPr>
        <w:pStyle w:val="Heading1"/>
      </w:pPr>
      <w:r>
        <w:t>11.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CC7.3, CC7.4, CC7.5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A.5.24 to A.5.28, A.6.8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164.308(a)(6), 164.400 to 164.414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33, 34</w:t>
            </w:r>
          </w:p>
        </w:tc>
      </w:tr>
    </w:tbl>
    <w:p/>
    <w:p>
      <w:pPr>
        <w:pStyle w:val="Heading1"/>
      </w:pPr>
      <w:r>
        <w:t>12.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Response Plan (with HIPAA and GDPR breach addenda)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