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Audit Procedure and Programme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Plans and governs internal audits so that the ISMS conformity and effectiveness are checked at planned intervals by objective auditors.</w:t>
      </w:r>
    </w:p>
    <w:p>
      <w:pPr>
        <w:pStyle w:val="Heading1"/>
      </w:pPr>
      <w:r>
        <w:t>2. Scope</w:t>
      </w:r>
    </w:p>
    <w:p>
      <w:r>
        <w:t>All ISMS clauses 4 to 10 and applicable Annex A controls over a [12-month / 3-year] audit cycle.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Audit Programme Owner</w:t>
            </w:r>
          </w:p>
        </w:tc>
        <w:tc>
          <w:tcPr>
            <w:tcW w:type="dxa" w:w="4873"/>
          </w:tcPr>
          <w:p>
            <w:r>
              <w:t>Plans the programme and assigns auditors.</w:t>
            </w:r>
          </w:p>
        </w:tc>
      </w:tr>
      <w:tr>
        <w:tc>
          <w:tcPr>
            <w:tcW w:type="dxa" w:w="4873"/>
          </w:tcPr>
          <w:p>
            <w:r>
              <w:t>Internal Auditor</w:t>
            </w:r>
          </w:p>
        </w:tc>
        <w:tc>
          <w:tcPr>
            <w:tcW w:type="dxa" w:w="4873"/>
          </w:tcPr>
          <w:p>
            <w:r>
              <w:t>Plans and performs audits, reports findings.</w:t>
            </w:r>
          </w:p>
        </w:tc>
      </w:tr>
      <w:tr>
        <w:tc>
          <w:tcPr>
            <w:tcW w:type="dxa" w:w="4873"/>
          </w:tcPr>
          <w:p>
            <w:r>
              <w:t>Auditee / Process Owner</w:t>
            </w:r>
          </w:p>
        </w:tc>
        <w:tc>
          <w:tcPr>
            <w:tcW w:type="dxa" w:w="4873"/>
          </w:tcPr>
          <w:p>
            <w:r>
              <w:t>Provides evidence and implements corrective actions.</w:t>
            </w:r>
          </w:p>
        </w:tc>
      </w:tr>
      <w:tr>
        <w:tc>
          <w:tcPr>
            <w:tcW w:type="dxa" w:w="4873"/>
          </w:tcPr>
          <w:p>
            <w:r>
              <w:t>Top Management</w:t>
            </w:r>
          </w:p>
        </w:tc>
        <w:tc>
          <w:tcPr>
            <w:tcW w:type="dxa" w:w="4873"/>
          </w:tcPr>
          <w:p>
            <w:r>
              <w:t>Reviews audit results.</w:t>
            </w:r>
          </w:p>
        </w:tc>
      </w:tr>
    </w:tbl>
    <w:p/>
    <w:p>
      <w:pPr>
        <w:pStyle w:val="Heading1"/>
      </w:pPr>
      <w:r>
        <w:t>4. Auditor independence and competence</w:t>
      </w:r>
    </w:p>
    <w:p>
      <w:pPr>
        <w:pStyle w:val="ListBullet"/>
      </w:pPr>
      <w:r>
        <w:t>Auditors must not audit their own work.</w:t>
      </w:r>
    </w:p>
    <w:p>
      <w:pPr>
        <w:pStyle w:val="ListBullet"/>
      </w:pPr>
      <w:r>
        <w:t>Auditors must hold ISO 27001 Internal or Lead Auditor training or equivalent experience.</w:t>
      </w:r>
    </w:p>
    <w:p>
      <w:pPr>
        <w:pStyle w:val="ListBullet"/>
      </w:pPr>
      <w:r>
        <w:t>An external auditor may be engaged where internal independence is not possible.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Prepare an annual audit programme covering all clauses and applicable Annex A controls, prioritised by risk and previous results.</w:t>
      </w:r>
    </w:p>
    <w:p>
      <w:pPr>
        <w:ind w:left="340" w:hanging="340"/>
      </w:pPr>
      <w:r>
        <w:t>2. For each audit, issue an audit plan with scope, criteria, auditees and schedule at least [2] weeks in advance.</w:t>
      </w:r>
    </w:p>
    <w:p>
      <w:pPr>
        <w:ind w:left="340" w:hanging="340"/>
      </w:pPr>
      <w:r>
        <w:t>3. Hold an opening meeting, collect evidence through interviews, document review, observation and sampling.</w:t>
      </w:r>
    </w:p>
    <w:p>
      <w:pPr>
        <w:ind w:left="340" w:hanging="340"/>
      </w:pPr>
      <w:r>
        <w:t>4. Classify findings: Major nonconformity, Minor nonconformity, Observation, Opportunity for improvement.</w:t>
      </w:r>
    </w:p>
    <w:p>
      <w:pPr>
        <w:ind w:left="340" w:hanging="340"/>
      </w:pPr>
      <w:r>
        <w:t>5. Hold a closing meeting and issue the Internal Audit Report within [10] business days.</w:t>
      </w:r>
    </w:p>
    <w:p>
      <w:pPr>
        <w:ind w:left="340" w:hanging="340"/>
      </w:pPr>
      <w:r>
        <w:t>6. Log nonconformities in the Corrective Action Log with owners and due dates.</w:t>
      </w:r>
    </w:p>
    <w:p>
      <w:pPr>
        <w:ind w:left="340" w:hanging="340"/>
      </w:pPr>
      <w:r>
        <w:t>7. Verify corrective actions and close findings.</w:t>
      </w:r>
    </w:p>
    <w:p>
      <w:pPr>
        <w:ind w:left="340" w:hanging="340"/>
      </w:pPr>
      <w:r>
        <w:t>8. Report audit results to management review.</w:t>
      </w:r>
    </w:p>
    <w:p>
      <w:pPr>
        <w:pStyle w:val="Heading1"/>
      </w:pPr>
      <w:r>
        <w:t>6. Frequency and timing</w:t>
      </w:r>
    </w:p>
    <w:p>
      <w:r>
        <w:t>Programme set annually; full ISMS covered at least once per [12 months] before the external audit.</w:t>
      </w:r>
    </w:p>
    <w:p>
      <w:pPr>
        <w:pStyle w:val="Heading1"/>
      </w:pPr>
      <w:r>
        <w:t>7.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Audit #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Scope (clauses / controls / processes)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Planned month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Auditor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Auditee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Status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Report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Findings (Major / Minor / OFI)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Approved audit programme</w:t>
      </w:r>
    </w:p>
    <w:p>
      <w:r>
        <w:t>☐  Audit plans and reports</w:t>
      </w:r>
    </w:p>
    <w:p>
      <w:r>
        <w:t>☐  Auditor competence and independence records</w:t>
      </w:r>
    </w:p>
    <w:p>
      <w:r>
        <w:t>☐  Corrective action records</w:t>
      </w:r>
    </w:p>
    <w:p>
      <w:r>
        <w:t>☐  Results presented at management review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9.2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CC4.1, CC4.2</w:t>
            </w:r>
          </w:p>
        </w:tc>
      </w:tr>
    </w:tbl>
    <w:p/>
    <w:p>
      <w:pPr>
        <w:pStyle w:val="Heading1"/>
      </w:pPr>
      <w:r>
        <w:t>10.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Procedure and Programme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