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Internal Privacy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Explains to employees and contractors how their own personal data is processed, the lawful bases, retention and their rights.</w:t>
      </w:r>
    </w:p>
    <w:p>
      <w:pPr>
        <w:pStyle w:val="Heading1"/>
      </w:pPr>
      <w:r>
        <w:t>2. Scope</w:t>
      </w:r>
    </w:p>
    <w:p>
      <w:r>
        <w:t>Personal data of current and former employees, contractors and applicants.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Controls HR data.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Handles requests and questions.</w:t>
            </w:r>
          </w:p>
        </w:tc>
      </w:tr>
    </w:tbl>
    <w:p/>
    <w:p>
      <w:pPr>
        <w:pStyle w:val="Heading1"/>
      </w:pPr>
      <w:r>
        <w:t>4. What we process and why</w:t>
      </w:r>
    </w:p>
    <w:p>
      <w:pPr>
        <w:ind w:left="340" w:hanging="340"/>
      </w:pPr>
      <w:r>
        <w:t>1. Identity and contact details: employment contract (Art. 6(1)(b)).</w:t>
      </w:r>
    </w:p>
    <w:p>
      <w:pPr>
        <w:ind w:left="340" w:hanging="340"/>
      </w:pPr>
      <w:r>
        <w:t>2. Payroll, tax and bank details: legal obligation and contract.</w:t>
      </w:r>
    </w:p>
    <w:p>
      <w:pPr>
        <w:ind w:left="340" w:hanging="340"/>
      </w:pPr>
      <w:r>
        <w:t>3. Performance and training records: legitimate interests and contract.</w:t>
      </w:r>
    </w:p>
    <w:p>
      <w:pPr>
        <w:ind w:left="340" w:hanging="340"/>
      </w:pPr>
      <w:r>
        <w:t>4. Background check results: legal obligation or consent, as permitted by local law.</w:t>
      </w:r>
    </w:p>
    <w:p>
      <w:pPr>
        <w:ind w:left="340" w:hanging="340"/>
      </w:pPr>
      <w:r>
        <w:t>5. IT and security logs: legitimate interests in protecting systems.</w:t>
      </w:r>
    </w:p>
    <w:p>
      <w:pPr>
        <w:pStyle w:val="Heading1"/>
      </w:pPr>
      <w:r>
        <w:t>5. Sharing, transfers and retention</w:t>
      </w:r>
    </w:p>
    <w:p>
      <w:pPr>
        <w:pStyle w:val="ListBullet"/>
      </w:pPr>
      <w:r>
        <w:t>Data is shared with payroll, benefits and HR system providers under contract.</w:t>
      </w:r>
    </w:p>
    <w:p>
      <w:pPr>
        <w:pStyle w:val="ListBullet"/>
      </w:pPr>
      <w:r>
        <w:t>International transfers use appropriate safeguards.</w:t>
      </w:r>
    </w:p>
    <w:p>
      <w:pPr>
        <w:pStyle w:val="ListBullet"/>
      </w:pPr>
      <w:r>
        <w:t>HR records are retained for employment plus [7] years unless law requires otherwise.</w:t>
      </w:r>
    </w:p>
    <w:p>
      <w:pPr>
        <w:pStyle w:val="Heading1"/>
      </w:pPr>
      <w:r>
        <w:t>6. Your rights</w:t>
      </w:r>
    </w:p>
    <w:p>
      <w:pPr>
        <w:pStyle w:val="ListBullet"/>
      </w:pPr>
      <w:r>
        <w:t>Access, rectification, erasure, restriction, objection and portability, subject to legal limits.</w:t>
      </w:r>
    </w:p>
    <w:p>
      <w:pPr>
        <w:pStyle w:val="ListBullet"/>
      </w:pPr>
      <w:r>
        <w:t>Contact [privacy contact] to exercise rights; you may complain to the supervisory authority.</w:t>
      </w:r>
    </w:p>
    <w:p>
      <w:pPr>
        <w:pStyle w:val="Heading1"/>
      </w:pPr>
      <w:r>
        <w:t>7. Frequency and timing</w:t>
      </w:r>
    </w:p>
    <w:p>
      <w:r>
        <w:t>Reviewed annually.</w:t>
      </w:r>
    </w:p>
    <w:p>
      <w:pPr>
        <w:pStyle w:val="Heading1"/>
      </w:pPr>
      <w:r>
        <w:t>8. Audit evidence checklist</w:t>
      </w:r>
    </w:p>
    <w:p>
      <w:r>
        <w:t>Retain the following so an auditor can test this control:</w:t>
      </w:r>
    </w:p>
    <w:p>
      <w:r>
        <w:t>☐  Published notice</w:t>
      </w:r>
    </w:p>
    <w:p>
      <w:r>
        <w:t>☐  Acknowledgement at onboarding</w:t>
      </w:r>
    </w:p>
    <w:p>
      <w:pPr>
        <w:pStyle w:val="Heading1"/>
      </w:pPr>
      <w:r>
        <w:t>9.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13, 14, 88</w:t>
            </w:r>
          </w:p>
        </w:tc>
      </w:tr>
    </w:tbl>
    <w:p/>
    <w:p>
      <w:pPr>
        <w:pStyle w:val="Heading1"/>
      </w:pPr>
      <w:r>
        <w:t>10.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Privacy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